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1C409">
      <w:pPr>
        <w:keepNext w:val="0"/>
        <w:keepLines w:val="0"/>
        <w:pageBreakBefore w:val="0"/>
        <w:widowControl w:val="0"/>
        <w:kinsoku/>
        <w:wordWrap w:val="0"/>
        <w:overflowPunct/>
        <w:topLinePunct w:val="0"/>
        <w:autoSpaceDE/>
        <w:autoSpaceDN/>
        <w:bidi w:val="0"/>
        <w:adjustRightInd/>
        <w:snapToGrid/>
        <w:spacing w:line="560" w:lineRule="exact"/>
        <w:ind w:firstLine="320" w:firstLineChars="100"/>
        <w:jc w:val="both"/>
        <w:textAlignment w:val="auto"/>
        <w:rPr>
          <w:rFonts w:hint="eastAsia" w:ascii="仿宋_GB2312" w:hAnsi="仿宋_GB2312" w:eastAsia="仿宋_GB2312" w:cs="仿宋_GB2312"/>
          <w:color w:val="auto"/>
          <w:sz w:val="32"/>
          <w:szCs w:val="32"/>
          <w:highlight w:val="none"/>
          <w:lang w:val="en-US" w:eastAsia="zh-CN"/>
        </w:rPr>
      </w:pPr>
      <w:bookmarkStart w:id="1" w:name="_GoBack"/>
      <w:bookmarkEnd w:id="1"/>
      <w:r>
        <w:rPr>
          <w:rFonts w:hint="eastAsia" w:ascii="仿宋_GB2312" w:hAnsi="仿宋_GB2312" w:eastAsia="仿宋_GB2312" w:cs="仿宋_GB2312"/>
          <w:color w:val="auto"/>
          <w:sz w:val="32"/>
          <w:szCs w:val="32"/>
          <w:highlight w:val="none"/>
          <w:lang w:val="en-US" w:eastAsia="zh-CN"/>
        </w:rPr>
        <w:t>附件</w:t>
      </w:r>
    </w:p>
    <w:p w14:paraId="4580AE1A">
      <w:pPr>
        <w:ind w:left="404" w:leftChars="202"/>
        <w:jc w:val="center"/>
        <w:rPr>
          <w:rFonts w:hint="default" w:ascii="方正小标宋_GBK" w:eastAsia="方正小标宋_GBK"/>
          <w:color w:val="auto"/>
          <w:sz w:val="36"/>
          <w:szCs w:val="36"/>
          <w:highlight w:val="none"/>
          <w:lang w:val="en-US" w:eastAsia="zh-CN"/>
        </w:rPr>
      </w:pPr>
      <w:bookmarkStart w:id="0" w:name="_Toc56606569"/>
      <w:r>
        <w:rPr>
          <w:rFonts w:hint="eastAsia" w:ascii="方正小标宋_GBK" w:eastAsia="方正小标宋_GBK"/>
          <w:color w:val="auto"/>
          <w:sz w:val="36"/>
          <w:szCs w:val="36"/>
          <w:highlight w:val="none"/>
          <w:lang w:val="en-US" w:eastAsia="zh-CN"/>
        </w:rPr>
        <w:t>四川省健康促进基金会</w:t>
      </w:r>
    </w:p>
    <w:p w14:paraId="7B392A94">
      <w:pPr>
        <w:ind w:left="404" w:leftChars="202"/>
        <w:jc w:val="center"/>
        <w:rPr>
          <w:rFonts w:hint="eastAsia" w:ascii="方正小标宋_GBK" w:eastAsia="方正小标宋_GBK" w:cs="宋体"/>
          <w:color w:val="auto"/>
          <w:sz w:val="36"/>
          <w:szCs w:val="36"/>
          <w:highlight w:val="none"/>
          <w:lang w:val="en-US" w:eastAsia="zh-CN"/>
        </w:rPr>
      </w:pPr>
      <w:r>
        <w:rPr>
          <w:rFonts w:hint="eastAsia" w:ascii="方正小标宋_GBK" w:eastAsia="方正小标宋_GBK" w:cs="宋体"/>
          <w:color w:val="auto"/>
          <w:sz w:val="36"/>
          <w:szCs w:val="36"/>
          <w:highlight w:val="none"/>
          <w:lang w:val="en-US" w:eastAsia="zh-CN"/>
        </w:rPr>
        <w:t>2026阿尔茨海默病诊疗新生态学术交流会</w:t>
      </w:r>
    </w:p>
    <w:p w14:paraId="0DC08E2A">
      <w:pPr>
        <w:ind w:left="404" w:leftChars="202"/>
        <w:jc w:val="center"/>
        <w:rPr>
          <w:rFonts w:ascii="方正小标宋_GBK" w:eastAsia="方正小标宋_GBK"/>
          <w:color w:val="auto"/>
          <w:sz w:val="36"/>
          <w:szCs w:val="36"/>
          <w:highlight w:val="none"/>
        </w:rPr>
      </w:pPr>
      <w:r>
        <w:rPr>
          <w:rFonts w:hint="eastAsia" w:ascii="方正小标宋_GBK" w:eastAsia="方正小标宋_GBK"/>
          <w:color w:val="auto"/>
          <w:sz w:val="36"/>
          <w:szCs w:val="36"/>
          <w:highlight w:val="none"/>
          <w:lang w:val="en-US" w:eastAsia="zh-CN"/>
        </w:rPr>
        <w:t>会议服务供应商采购</w:t>
      </w:r>
    </w:p>
    <w:p w14:paraId="37635A87">
      <w:pPr>
        <w:ind w:left="404" w:leftChars="202"/>
        <w:rPr>
          <w:rFonts w:ascii="Calibri" w:eastAsia="宋体"/>
          <w:color w:val="auto"/>
          <w:szCs w:val="21"/>
          <w:highlight w:val="none"/>
        </w:rPr>
      </w:pPr>
      <w:r>
        <w:rPr>
          <w:rFonts w:hint="eastAsia"/>
          <w:color w:val="auto"/>
          <w:highlight w:val="none"/>
        </w:rPr>
        <w:t xml:space="preserve"> </w:t>
      </w:r>
    </w:p>
    <w:p w14:paraId="5737069F">
      <w:pPr>
        <w:ind w:left="404" w:leftChars="202"/>
        <w:rPr>
          <w:color w:val="auto"/>
          <w:highlight w:val="none"/>
        </w:rPr>
      </w:pPr>
      <w:r>
        <w:rPr>
          <w:rFonts w:hint="eastAsia"/>
          <w:color w:val="auto"/>
          <w:highlight w:val="none"/>
        </w:rPr>
        <w:t xml:space="preserve"> </w:t>
      </w:r>
    </w:p>
    <w:p w14:paraId="590E4D5F">
      <w:pPr>
        <w:ind w:left="404" w:leftChars="202"/>
        <w:rPr>
          <w:color w:val="auto"/>
          <w:highlight w:val="none"/>
        </w:rPr>
      </w:pPr>
      <w:r>
        <w:rPr>
          <w:rFonts w:hint="eastAsia"/>
          <w:color w:val="auto"/>
          <w:highlight w:val="none"/>
        </w:rPr>
        <w:t xml:space="preserve"> </w:t>
      </w:r>
    </w:p>
    <w:p w14:paraId="767AB6F8">
      <w:pPr>
        <w:ind w:left="404" w:leftChars="202"/>
        <w:rPr>
          <w:color w:val="auto"/>
          <w:highlight w:val="none"/>
        </w:rPr>
      </w:pPr>
      <w:r>
        <w:rPr>
          <w:rFonts w:hint="eastAsia"/>
          <w:color w:val="auto"/>
          <w:highlight w:val="none"/>
        </w:rPr>
        <w:t xml:space="preserve"> </w:t>
      </w:r>
    </w:p>
    <w:p w14:paraId="4E6714B1">
      <w:pPr>
        <w:ind w:left="404" w:leftChars="202"/>
        <w:rPr>
          <w:color w:val="auto"/>
          <w:highlight w:val="none"/>
        </w:rPr>
      </w:pPr>
      <w:r>
        <w:rPr>
          <w:rFonts w:hint="eastAsia"/>
          <w:color w:val="auto"/>
          <w:highlight w:val="none"/>
        </w:rPr>
        <w:t xml:space="preserve"> </w:t>
      </w:r>
    </w:p>
    <w:p w14:paraId="13F02D9B">
      <w:pPr>
        <w:ind w:left="404" w:leftChars="202"/>
        <w:rPr>
          <w:color w:val="auto"/>
          <w:highlight w:val="none"/>
        </w:rPr>
      </w:pPr>
      <w:r>
        <w:rPr>
          <w:rFonts w:hint="eastAsia"/>
          <w:color w:val="auto"/>
          <w:highlight w:val="none"/>
        </w:rPr>
        <w:t xml:space="preserve"> </w:t>
      </w:r>
    </w:p>
    <w:p w14:paraId="13BAEF8D">
      <w:pPr>
        <w:ind w:left="404" w:leftChars="202"/>
        <w:rPr>
          <w:color w:val="auto"/>
          <w:highlight w:val="none"/>
        </w:rPr>
      </w:pPr>
      <w:r>
        <w:rPr>
          <w:rFonts w:hint="eastAsia"/>
          <w:color w:val="auto"/>
          <w:highlight w:val="none"/>
        </w:rPr>
        <w:t xml:space="preserve"> </w:t>
      </w:r>
    </w:p>
    <w:p w14:paraId="5C529F68">
      <w:pPr>
        <w:ind w:left="404" w:leftChars="202"/>
        <w:rPr>
          <w:color w:val="auto"/>
          <w:highlight w:val="none"/>
        </w:rPr>
      </w:pPr>
      <w:r>
        <w:rPr>
          <w:rFonts w:hint="eastAsia"/>
          <w:color w:val="auto"/>
          <w:highlight w:val="none"/>
        </w:rPr>
        <w:t xml:space="preserve"> </w:t>
      </w:r>
    </w:p>
    <w:p w14:paraId="22410D04">
      <w:pPr>
        <w:ind w:left="404" w:leftChars="202"/>
        <w:rPr>
          <w:color w:val="auto"/>
          <w:highlight w:val="none"/>
        </w:rPr>
      </w:pPr>
      <w:r>
        <w:rPr>
          <w:rFonts w:hint="eastAsia"/>
          <w:color w:val="auto"/>
          <w:highlight w:val="none"/>
        </w:rPr>
        <w:t xml:space="preserve"> </w:t>
      </w:r>
    </w:p>
    <w:p w14:paraId="1555DFA8">
      <w:pPr>
        <w:ind w:left="404" w:leftChars="202"/>
        <w:rPr>
          <w:color w:val="auto"/>
          <w:highlight w:val="none"/>
        </w:rPr>
      </w:pPr>
      <w:r>
        <w:rPr>
          <w:rFonts w:hint="eastAsia"/>
          <w:color w:val="auto"/>
          <w:highlight w:val="none"/>
        </w:rPr>
        <w:t xml:space="preserve"> </w:t>
      </w:r>
    </w:p>
    <w:p w14:paraId="5D4A7CF1">
      <w:pPr>
        <w:ind w:left="404" w:leftChars="202"/>
        <w:rPr>
          <w:color w:val="auto"/>
          <w:highlight w:val="none"/>
        </w:rPr>
      </w:pPr>
      <w:r>
        <w:rPr>
          <w:rFonts w:hint="eastAsia"/>
          <w:color w:val="auto"/>
          <w:highlight w:val="none"/>
        </w:rPr>
        <w:t xml:space="preserve"> </w:t>
      </w:r>
    </w:p>
    <w:p w14:paraId="01C6932F">
      <w:pPr>
        <w:ind w:left="404" w:leftChars="202"/>
        <w:rPr>
          <w:color w:val="auto"/>
          <w:highlight w:val="none"/>
        </w:rPr>
      </w:pPr>
      <w:r>
        <w:rPr>
          <w:rFonts w:hint="eastAsia"/>
          <w:color w:val="auto"/>
          <w:highlight w:val="none"/>
        </w:rPr>
        <w:t xml:space="preserve"> </w:t>
      </w:r>
    </w:p>
    <w:p w14:paraId="05F9280C">
      <w:pPr>
        <w:ind w:left="404" w:leftChars="202"/>
        <w:rPr>
          <w:color w:val="auto"/>
          <w:highlight w:val="none"/>
        </w:rPr>
      </w:pPr>
      <w:r>
        <w:rPr>
          <w:rFonts w:hint="eastAsia"/>
          <w:color w:val="auto"/>
          <w:highlight w:val="none"/>
        </w:rPr>
        <w:t xml:space="preserve"> </w:t>
      </w:r>
    </w:p>
    <w:p w14:paraId="36D6CA25">
      <w:pPr>
        <w:ind w:left="404" w:leftChars="202"/>
        <w:jc w:val="center"/>
        <w:rPr>
          <w:rFonts w:ascii="方正小标宋_GBK" w:eastAsia="方正小标宋_GBK"/>
          <w:color w:val="auto"/>
          <w:sz w:val="44"/>
          <w:szCs w:val="44"/>
          <w:highlight w:val="none"/>
        </w:rPr>
      </w:pPr>
      <w:r>
        <w:rPr>
          <w:rFonts w:hint="eastAsia" w:ascii="方正小标宋_GBK" w:eastAsia="方正小标宋_GBK"/>
          <w:color w:val="auto"/>
          <w:sz w:val="44"/>
          <w:szCs w:val="44"/>
          <w:highlight w:val="none"/>
          <w:lang w:val="en-US" w:eastAsia="zh-CN"/>
        </w:rPr>
        <w:t>比 选</w:t>
      </w:r>
      <w:r>
        <w:rPr>
          <w:rFonts w:hint="eastAsia" w:ascii="方正小标宋_GBK" w:eastAsia="方正小标宋_GBK"/>
          <w:color w:val="auto"/>
          <w:sz w:val="44"/>
          <w:szCs w:val="44"/>
          <w:highlight w:val="none"/>
        </w:rPr>
        <w:t xml:space="preserve"> 文 件</w:t>
      </w:r>
    </w:p>
    <w:p w14:paraId="406D8BD9">
      <w:pPr>
        <w:ind w:left="404" w:leftChars="202"/>
        <w:rPr>
          <w:rFonts w:ascii="Calibri" w:eastAsia="宋体"/>
          <w:color w:val="auto"/>
          <w:szCs w:val="21"/>
          <w:highlight w:val="none"/>
        </w:rPr>
      </w:pPr>
      <w:r>
        <w:rPr>
          <w:rFonts w:hint="eastAsia"/>
          <w:color w:val="auto"/>
          <w:highlight w:val="none"/>
        </w:rPr>
        <w:t xml:space="preserve"> </w:t>
      </w:r>
    </w:p>
    <w:p w14:paraId="5704AD9B">
      <w:pPr>
        <w:ind w:left="404" w:leftChars="202"/>
        <w:rPr>
          <w:color w:val="auto"/>
          <w:highlight w:val="none"/>
        </w:rPr>
      </w:pPr>
      <w:r>
        <w:rPr>
          <w:rFonts w:hint="eastAsia"/>
          <w:color w:val="auto"/>
          <w:highlight w:val="none"/>
        </w:rPr>
        <w:t xml:space="preserve"> </w:t>
      </w:r>
    </w:p>
    <w:p w14:paraId="033B67F2">
      <w:pPr>
        <w:ind w:left="404" w:leftChars="202"/>
        <w:rPr>
          <w:color w:val="auto"/>
          <w:highlight w:val="none"/>
        </w:rPr>
      </w:pPr>
      <w:r>
        <w:rPr>
          <w:rFonts w:hint="eastAsia"/>
          <w:color w:val="auto"/>
          <w:highlight w:val="none"/>
        </w:rPr>
        <w:t xml:space="preserve"> </w:t>
      </w:r>
    </w:p>
    <w:p w14:paraId="66EFDA45">
      <w:pPr>
        <w:ind w:left="404" w:leftChars="202"/>
        <w:rPr>
          <w:color w:val="auto"/>
          <w:highlight w:val="none"/>
        </w:rPr>
      </w:pPr>
      <w:r>
        <w:rPr>
          <w:rFonts w:hint="eastAsia"/>
          <w:color w:val="auto"/>
          <w:highlight w:val="none"/>
        </w:rPr>
        <w:t xml:space="preserve"> </w:t>
      </w:r>
    </w:p>
    <w:p w14:paraId="5696E805">
      <w:pPr>
        <w:ind w:left="404" w:leftChars="202"/>
        <w:rPr>
          <w:color w:val="auto"/>
          <w:highlight w:val="none"/>
        </w:rPr>
      </w:pPr>
      <w:r>
        <w:rPr>
          <w:rFonts w:hint="eastAsia"/>
          <w:color w:val="auto"/>
          <w:highlight w:val="none"/>
        </w:rPr>
        <w:t xml:space="preserve"> </w:t>
      </w:r>
    </w:p>
    <w:p w14:paraId="58F1B1D7">
      <w:pPr>
        <w:ind w:left="404" w:leftChars="202"/>
        <w:rPr>
          <w:color w:val="auto"/>
          <w:highlight w:val="none"/>
        </w:rPr>
      </w:pPr>
      <w:r>
        <w:rPr>
          <w:rFonts w:hint="eastAsia"/>
          <w:color w:val="auto"/>
          <w:highlight w:val="none"/>
        </w:rPr>
        <w:t xml:space="preserve"> </w:t>
      </w:r>
    </w:p>
    <w:p w14:paraId="1F7AB472">
      <w:pPr>
        <w:ind w:left="404" w:leftChars="202"/>
        <w:rPr>
          <w:color w:val="auto"/>
          <w:highlight w:val="none"/>
        </w:rPr>
      </w:pPr>
      <w:r>
        <w:rPr>
          <w:rFonts w:hint="eastAsia"/>
          <w:color w:val="auto"/>
          <w:highlight w:val="none"/>
        </w:rPr>
        <w:t xml:space="preserve"> </w:t>
      </w:r>
    </w:p>
    <w:p w14:paraId="2E331799">
      <w:pPr>
        <w:ind w:left="404" w:leftChars="202"/>
        <w:rPr>
          <w:color w:val="auto"/>
          <w:highlight w:val="none"/>
        </w:rPr>
      </w:pPr>
      <w:r>
        <w:rPr>
          <w:rFonts w:hint="eastAsia"/>
          <w:color w:val="auto"/>
          <w:highlight w:val="none"/>
        </w:rPr>
        <w:t xml:space="preserve"> </w:t>
      </w:r>
    </w:p>
    <w:p w14:paraId="66BE55E3">
      <w:pPr>
        <w:ind w:left="404" w:leftChars="202"/>
        <w:jc w:val="center"/>
        <w:rPr>
          <w:rFonts w:ascii="方正仿宋_GBK" w:eastAsia="方正仿宋_GBK"/>
          <w:color w:val="auto"/>
          <w:sz w:val="30"/>
          <w:szCs w:val="30"/>
          <w:highlight w:val="none"/>
        </w:rPr>
      </w:pPr>
      <w:r>
        <w:rPr>
          <w:rFonts w:hint="eastAsia" w:ascii="Times New Roman" w:hAnsi="Times New Roman" w:eastAsia="方正仿宋_GBK"/>
          <w:b/>
          <w:bCs/>
          <w:color w:val="auto"/>
          <w:sz w:val="30"/>
          <w:szCs w:val="30"/>
          <w:highlight w:val="none"/>
        </w:rPr>
        <w:t>比</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选</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人：</w:t>
      </w:r>
      <w:r>
        <w:rPr>
          <w:rFonts w:hint="eastAsia" w:ascii="方正仿宋_GBK" w:eastAsia="方正仿宋_GBK"/>
          <w:color w:val="auto"/>
          <w:sz w:val="30"/>
          <w:szCs w:val="30"/>
          <w:highlight w:val="none"/>
          <w:u w:val="single"/>
          <w:lang w:val="en-US" w:eastAsia="zh-CN"/>
        </w:rPr>
        <w:t>四川省健康促进基金会</w:t>
      </w:r>
    </w:p>
    <w:p w14:paraId="28CF4095">
      <w:pPr>
        <w:ind w:left="404" w:leftChars="202"/>
        <w:jc w:val="center"/>
        <w:rPr>
          <w:rFonts w:ascii="方正仿宋_GBK" w:eastAsia="方正仿宋_GBK"/>
          <w:color w:val="auto"/>
          <w:sz w:val="30"/>
          <w:szCs w:val="30"/>
          <w:highlight w:val="none"/>
        </w:rPr>
      </w:pPr>
    </w:p>
    <w:p w14:paraId="48BDDF24">
      <w:pPr>
        <w:ind w:left="404" w:leftChars="202"/>
        <w:jc w:val="center"/>
        <w:rPr>
          <w:rFonts w:ascii="方正仿宋_GBK" w:eastAsia="方正仿宋_GBK"/>
          <w:color w:val="auto"/>
          <w:sz w:val="30"/>
          <w:szCs w:val="30"/>
          <w:highlight w:val="none"/>
        </w:rPr>
      </w:pPr>
    </w:p>
    <w:p w14:paraId="55B17B38">
      <w:pPr>
        <w:ind w:left="404" w:leftChars="202"/>
        <w:jc w:val="center"/>
        <w:rPr>
          <w:rFonts w:ascii="方正仿宋_GBK" w:eastAsia="方正仿宋_GBK"/>
          <w:color w:val="auto"/>
          <w:sz w:val="30"/>
          <w:szCs w:val="30"/>
          <w:highlight w:val="none"/>
        </w:rPr>
      </w:pPr>
    </w:p>
    <w:p w14:paraId="750A9554">
      <w:pPr>
        <w:ind w:left="404" w:leftChars="202"/>
        <w:jc w:val="center"/>
        <w:rPr>
          <w:rFonts w:ascii="方正仿宋_GBK" w:eastAsia="方正仿宋_GBK"/>
          <w:color w:val="auto"/>
          <w:sz w:val="30"/>
          <w:szCs w:val="30"/>
          <w:highlight w:val="none"/>
        </w:rPr>
      </w:pPr>
    </w:p>
    <w:p w14:paraId="3AEB1DB5">
      <w:pPr>
        <w:ind w:left="404" w:leftChars="202"/>
        <w:jc w:val="center"/>
        <w:rPr>
          <w:rFonts w:ascii="方正仿宋_GBK" w:eastAsia="方正仿宋_GBK"/>
          <w:color w:val="auto"/>
          <w:sz w:val="30"/>
          <w:szCs w:val="30"/>
          <w:highlight w:val="none"/>
        </w:rPr>
      </w:pPr>
      <w:r>
        <w:rPr>
          <w:rFonts w:hint="eastAsia" w:ascii="方正仿宋_GBK" w:eastAsia="方正仿宋_GBK"/>
          <w:color w:val="auto"/>
          <w:sz w:val="30"/>
          <w:szCs w:val="30"/>
          <w:highlight w:val="none"/>
        </w:rPr>
        <w:t>二零二</w:t>
      </w:r>
      <w:r>
        <w:rPr>
          <w:rFonts w:hint="eastAsia" w:ascii="方正仿宋_GBK" w:eastAsia="方正仿宋_GBK"/>
          <w:color w:val="auto"/>
          <w:sz w:val="30"/>
          <w:szCs w:val="30"/>
          <w:highlight w:val="none"/>
          <w:lang w:val="en-US" w:eastAsia="zh-CN"/>
        </w:rPr>
        <w:t>六</w:t>
      </w:r>
      <w:r>
        <w:rPr>
          <w:rFonts w:hint="eastAsia" w:ascii="方正仿宋_GBK" w:eastAsia="方正仿宋_GBK"/>
          <w:color w:val="auto"/>
          <w:sz w:val="30"/>
          <w:szCs w:val="30"/>
          <w:highlight w:val="none"/>
        </w:rPr>
        <w:t>年</w:t>
      </w:r>
      <w:r>
        <w:rPr>
          <w:rFonts w:hint="eastAsia" w:ascii="方正仿宋_GBK" w:eastAsia="方正仿宋_GBK"/>
          <w:color w:val="auto"/>
          <w:sz w:val="30"/>
          <w:szCs w:val="30"/>
          <w:highlight w:val="none"/>
          <w:lang w:val="en-US" w:eastAsia="zh-CN"/>
        </w:rPr>
        <w:t>三</w:t>
      </w:r>
      <w:r>
        <w:rPr>
          <w:rFonts w:hint="eastAsia" w:ascii="方正仿宋_GBK" w:eastAsia="方正仿宋_GBK"/>
          <w:color w:val="auto"/>
          <w:sz w:val="30"/>
          <w:szCs w:val="30"/>
          <w:highlight w:val="none"/>
        </w:rPr>
        <w:t>月</w:t>
      </w:r>
    </w:p>
    <w:p w14:paraId="01FC913D">
      <w:pPr>
        <w:widowControl/>
        <w:jc w:val="left"/>
        <w:rPr>
          <w:color w:val="auto"/>
          <w:kern w:val="0"/>
          <w:highlight w:val="none"/>
        </w:rPr>
        <w:sectPr>
          <w:pgSz w:w="11907" w:h="16839"/>
          <w:pgMar w:top="1440" w:right="1800" w:bottom="1440" w:left="1800" w:header="720" w:footer="720" w:gutter="0"/>
          <w:pgBorders>
            <w:top w:val="none" w:sz="0" w:space="0"/>
            <w:left w:val="none" w:sz="0" w:space="0"/>
            <w:bottom w:val="none" w:sz="0" w:space="0"/>
            <w:right w:val="none" w:sz="0" w:space="0"/>
          </w:pgBorders>
          <w:pgNumType w:fmt="decimal"/>
          <w:cols w:space="720" w:num="1"/>
        </w:sectPr>
      </w:pPr>
    </w:p>
    <w:p w14:paraId="056AC7F0">
      <w:pPr>
        <w:pStyle w:val="8"/>
        <w:rPr>
          <w:rStyle w:val="11"/>
          <w:rFonts w:ascii="Cambria" w:hAnsi="Cambria"/>
          <w:b/>
          <w:color w:val="auto"/>
          <w:kern w:val="0"/>
          <w:szCs w:val="36"/>
          <w:highlight w:val="none"/>
        </w:rPr>
      </w:pPr>
      <w:r>
        <w:rPr>
          <w:rStyle w:val="11"/>
          <w:rFonts w:ascii="Cambria" w:hAnsi="Cambria"/>
          <w:b/>
          <w:color w:val="auto"/>
          <w:kern w:val="0"/>
          <w:szCs w:val="36"/>
          <w:highlight w:val="none"/>
        </w:rPr>
        <w:t>一</w:t>
      </w:r>
      <w:r>
        <w:rPr>
          <w:rStyle w:val="11"/>
          <w:rFonts w:hint="eastAsia" w:ascii="Cambria" w:hAnsi="Cambria"/>
          <w:b/>
          <w:color w:val="auto"/>
          <w:kern w:val="0"/>
          <w:szCs w:val="36"/>
          <w:highlight w:val="none"/>
        </w:rPr>
        <w:t>、</w:t>
      </w:r>
      <w:r>
        <w:rPr>
          <w:rStyle w:val="11"/>
          <w:rFonts w:hint="eastAsia"/>
          <w:b/>
          <w:color w:val="auto"/>
          <w:kern w:val="0"/>
          <w:szCs w:val="36"/>
          <w:highlight w:val="none"/>
          <w:lang w:val="en-US" w:eastAsia="zh-CN"/>
        </w:rPr>
        <w:t>比选</w:t>
      </w:r>
      <w:r>
        <w:rPr>
          <w:rStyle w:val="11"/>
          <w:rFonts w:hint="eastAsia" w:ascii="Cambria" w:hAnsi="Cambria"/>
          <w:b/>
          <w:color w:val="auto"/>
          <w:kern w:val="0"/>
          <w:szCs w:val="36"/>
          <w:highlight w:val="none"/>
        </w:rPr>
        <w:t>公告</w:t>
      </w:r>
      <w:bookmarkEnd w:id="0"/>
    </w:p>
    <w:p w14:paraId="4037CB9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一、</w:t>
      </w:r>
      <w:r>
        <w:rPr>
          <w:rFonts w:hint="eastAsia" w:ascii="黑体" w:hAnsi="黑体" w:eastAsia="黑体" w:cs="黑体"/>
          <w:color w:val="auto"/>
          <w:sz w:val="32"/>
          <w:szCs w:val="32"/>
          <w:highlight w:val="none"/>
        </w:rPr>
        <w:t>项目概况</w:t>
      </w:r>
    </w:p>
    <w:p w14:paraId="126314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kern w:val="1"/>
          <w:sz w:val="32"/>
          <w:szCs w:val="32"/>
          <w:lang w:val="en-US" w:eastAsia="zh-CN"/>
        </w:rPr>
      </w:pPr>
      <w:r>
        <w:rPr>
          <w:rFonts w:hint="eastAsia" w:ascii="仿宋_GB2312" w:hAnsi="仿宋_GB2312" w:eastAsia="仿宋_GB2312" w:cs="仿宋_GB2312"/>
          <w:kern w:val="1"/>
          <w:sz w:val="32"/>
          <w:szCs w:val="32"/>
          <w:lang w:val="en-US" w:eastAsia="zh-CN"/>
        </w:rPr>
        <w:t>当前我国阿尔茨海默病(AD)防治面临早诊率低(早期就诊率仅28.6%)、基层筛查可及性差、转诊机制不畅、诊疗同质化不足等突出问题，已成为影响国民健康的重大公共卫生挑战。为落实《应对老年期痴呆国家行动计划(2024一2030年)》中 “构建筛查-诊疗-康复-随访全病程管理体系”的核心任务，推动各级医疗机构建立高效联动机制，提升AD规范化诊疗水平，经研究，四川省健康促进基金会定于2026年3月28日在四川省自贡市国投豪生大酒店召开“2026阿尔茨海默病诊疗新生态学术交流会”。</w:t>
      </w:r>
    </w:p>
    <w:p w14:paraId="388D758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二、项目基本情况</w:t>
      </w:r>
    </w:p>
    <w:p w14:paraId="05CDF8F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仿宋_GB2312" w:hAnsi="仿宋_GB2312" w:eastAsia="仿宋_GB2312" w:cs="仿宋_GB2312"/>
          <w:kern w:val="1"/>
          <w:sz w:val="32"/>
          <w:szCs w:val="32"/>
          <w:lang w:val="en-US" w:eastAsia="zh-CN"/>
        </w:rPr>
      </w:pPr>
      <w:r>
        <w:rPr>
          <w:rFonts w:hint="eastAsia" w:ascii="仿宋_GB2312" w:hAnsi="仿宋_GB2312" w:eastAsia="仿宋_GB2312" w:cs="仿宋_GB2312"/>
          <w:color w:val="auto"/>
          <w:sz w:val="32"/>
          <w:szCs w:val="32"/>
          <w:highlight w:val="none"/>
        </w:rPr>
        <w:t>项目名称：</w:t>
      </w:r>
      <w:r>
        <w:rPr>
          <w:rFonts w:hint="eastAsia" w:ascii="仿宋_GB2312" w:hAnsi="仿宋_GB2312" w:eastAsia="仿宋_GB2312" w:cs="仿宋_GB2312"/>
          <w:kern w:val="1"/>
          <w:sz w:val="32"/>
          <w:szCs w:val="32"/>
          <w:lang w:val="en-US" w:eastAsia="zh-CN"/>
        </w:rPr>
        <w:t>2026阿尔茨海默病诊疗新生态学术交流会</w:t>
      </w:r>
    </w:p>
    <w:p w14:paraId="478B78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采购需求</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根据实际需求确定，采购服务</w:t>
      </w:r>
      <w:r>
        <w:rPr>
          <w:rFonts w:hint="eastAsia" w:ascii="仿宋_GB2312" w:hAnsi="仿宋_GB2312" w:eastAsia="仿宋_GB2312" w:cs="仿宋_GB2312"/>
          <w:color w:val="auto"/>
          <w:sz w:val="32"/>
          <w:szCs w:val="32"/>
          <w:highlight w:val="none"/>
        </w:rPr>
        <w:t>详见</w:t>
      </w:r>
      <w:r>
        <w:rPr>
          <w:rFonts w:hint="eastAsia" w:ascii="仿宋_GB2312" w:hAnsi="仿宋_GB2312" w:eastAsia="仿宋_GB2312" w:cs="仿宋_GB2312"/>
          <w:color w:val="auto"/>
          <w:sz w:val="32"/>
          <w:szCs w:val="32"/>
          <w:highlight w:val="none"/>
          <w:lang w:val="en-US" w:eastAsia="zh-CN"/>
        </w:rPr>
        <w:t>报价单</w:t>
      </w:r>
      <w:r>
        <w:rPr>
          <w:rFonts w:hint="eastAsia" w:ascii="仿宋_GB2312" w:hAnsi="仿宋_GB2312" w:eastAsia="仿宋_GB2312" w:cs="仿宋_GB2312"/>
          <w:color w:val="auto"/>
          <w:sz w:val="32"/>
          <w:szCs w:val="32"/>
          <w:highlight w:val="none"/>
        </w:rPr>
        <w:t>。</w:t>
      </w:r>
    </w:p>
    <w:p w14:paraId="750081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合同履行期限</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2026年3月-2026年12月</w:t>
      </w:r>
    </w:p>
    <w:p w14:paraId="175B4DF9">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三、竞选人资格要求：</w:t>
      </w:r>
    </w:p>
    <w:p w14:paraId="03410DFB">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（一）会议服务供应商必须是在中华人民共和国境内注册的独立法人或单位（1年以上），符合国家法律规定，具备独立订立合同的能力（提供营业执照）；</w:t>
      </w:r>
    </w:p>
    <w:p w14:paraId="3790B47F">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（二）法定代表人（单位负责人）授权书原件，或法定代表人（单位负责人）身份证明原件（后附文件格式）；</w:t>
      </w:r>
    </w:p>
    <w:p w14:paraId="2E78D5F5">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（三）承诺函原件（后附文件格式）；</w:t>
      </w:r>
    </w:p>
    <w:p w14:paraId="021585F8">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注：以上文件均须加盖供应商单位公章。</w:t>
      </w:r>
    </w:p>
    <w:p w14:paraId="1F46626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四、采购方式：</w:t>
      </w:r>
    </w:p>
    <w:p w14:paraId="24814F7E">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采用比选方式</w:t>
      </w:r>
    </w:p>
    <w:p w14:paraId="302FC4CA">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竞选人应按竞选服务形式/内容全部报价，并按报价单的要求填报。</w:t>
      </w:r>
    </w:p>
    <w:p w14:paraId="1417B325">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五、确定供应商方法：</w:t>
      </w:r>
    </w:p>
    <w:p w14:paraId="1C043431">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通过公开、公平、公正比选选定合作供应商。竞选人根据采购人提供的服务要求在规定的时间进行现场报价，采购人在规定的时间进行统一拆封报价。</w:t>
      </w:r>
    </w:p>
    <w:p w14:paraId="16D39217">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评分办法：最低竞选价法:是指在满足竞选人资格要求的条件下，报价最低的竞选人作为中选(候选人)的评审方法。</w:t>
      </w:r>
    </w:p>
    <w:p w14:paraId="17832B8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1.</w:t>
      </w:r>
      <w:r>
        <w:rPr>
          <w:rFonts w:hint="eastAsia" w:ascii="仿宋_GB2312" w:hAnsi="仿宋_GB2312" w:eastAsia="仿宋_GB2312" w:cs="仿宋_GB2312"/>
          <w:i w:val="0"/>
          <w:iCs w:val="0"/>
          <w:caps w:val="0"/>
          <w:color w:val="auto"/>
          <w:spacing w:val="0"/>
          <w:sz w:val="32"/>
          <w:szCs w:val="32"/>
          <w:highlight w:val="none"/>
        </w:rPr>
        <w:t>资格审查：比选小组成员在评分前应对竞选人资格进行审查，资格审查通过后的竞选人方能参与比选会。</w:t>
      </w:r>
    </w:p>
    <w:p w14:paraId="176877C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2.</w:t>
      </w:r>
      <w:r>
        <w:rPr>
          <w:rFonts w:hint="eastAsia" w:ascii="仿宋_GB2312" w:hAnsi="仿宋_GB2312" w:eastAsia="仿宋_GB2312" w:cs="仿宋_GB2312"/>
          <w:i w:val="0"/>
          <w:iCs w:val="0"/>
          <w:caps w:val="0"/>
          <w:color w:val="auto"/>
          <w:spacing w:val="0"/>
          <w:sz w:val="32"/>
          <w:szCs w:val="32"/>
          <w:highlight w:val="none"/>
        </w:rPr>
        <w:t>报价函中如有空白遗漏（包括分项报价、分表合计、总报价）等无价格情况，其该类别评分得零。</w:t>
      </w:r>
    </w:p>
    <w:p w14:paraId="2C3BCC3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3.供应商报价总分计算：根据报价单内容，每项服务内容报价满分为10分，供应商报价实际得分计算方式，每项服务内容报价权重分值=每项服务内容报价最低者/每项服务内容实际报价*10分</w:t>
      </w:r>
      <w:r>
        <w:rPr>
          <w:rFonts w:hint="eastAsia" w:ascii="仿宋_GB2312" w:hAnsi="仿宋_GB2312" w:eastAsia="仿宋_GB2312" w:cs="仿宋_GB2312"/>
          <w:i w:val="0"/>
          <w:iCs w:val="0"/>
          <w:caps w:val="0"/>
          <w:color w:val="auto"/>
          <w:spacing w:val="0"/>
          <w:sz w:val="32"/>
          <w:szCs w:val="32"/>
          <w:highlight w:val="none"/>
        </w:rPr>
        <w:t>，按权重分值计算总分。</w:t>
      </w:r>
    </w:p>
    <w:p w14:paraId="2F80634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竞选文件评审</w:t>
      </w:r>
    </w:p>
    <w:p w14:paraId="4F13BB7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竞选文件评审由比选小组负责。比选小组根据竞选人提交的竞选文件，对照比选文件的标准和要求，进行资格评审、响应性评审等。</w:t>
      </w:r>
    </w:p>
    <w:p w14:paraId="3126FD3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竞选文件出现以下情形，作废标处理</w:t>
      </w:r>
      <w:r>
        <w:rPr>
          <w:rFonts w:hint="eastAsia" w:ascii="仿宋_GB2312" w:hAnsi="仿宋_GB2312" w:eastAsia="仿宋_GB2312" w:cs="仿宋_GB2312"/>
          <w:i w:val="0"/>
          <w:iCs w:val="0"/>
          <w:caps w:val="0"/>
          <w:color w:val="auto"/>
          <w:spacing w:val="0"/>
          <w:sz w:val="32"/>
          <w:szCs w:val="32"/>
          <w:highlight w:val="none"/>
          <w:lang w:eastAsia="zh-CN"/>
        </w:rPr>
        <w:t>：</w:t>
      </w:r>
    </w:p>
    <w:p w14:paraId="5960533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（1）竞选人竞选文件载明的竞选人名称与提供营业执照不一致的；</w:t>
      </w:r>
    </w:p>
    <w:p w14:paraId="3918256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（2）竞选函、竞选报价、承诺书清单签字、盖章不符合比选文件要求的，承诺书弄虚作假的；</w:t>
      </w:r>
    </w:p>
    <w:p w14:paraId="1121C7F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（3）营业执照等证失效，或者营业执照的经营范围不符合比选文件要求的；</w:t>
      </w:r>
    </w:p>
    <w:p w14:paraId="2902929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）更改报价范围（含改变比选人给定的量），或者增、减报价项目的，改变报价</w:t>
      </w:r>
      <w:r>
        <w:rPr>
          <w:rFonts w:hint="eastAsia" w:ascii="仿宋_GB2312" w:hAnsi="仿宋_GB2312" w:eastAsia="仿宋_GB2312" w:cs="仿宋_GB2312"/>
          <w:i w:val="0"/>
          <w:iCs w:val="0"/>
          <w:caps w:val="0"/>
          <w:color w:val="auto"/>
          <w:spacing w:val="0"/>
          <w:sz w:val="32"/>
          <w:szCs w:val="32"/>
          <w:highlight w:val="none"/>
          <w:lang w:val="en-US" w:eastAsia="zh-CN"/>
        </w:rPr>
        <w:t>单</w:t>
      </w:r>
      <w:r>
        <w:rPr>
          <w:rFonts w:hint="eastAsia" w:ascii="仿宋_GB2312" w:hAnsi="仿宋_GB2312" w:eastAsia="仿宋_GB2312" w:cs="仿宋_GB2312"/>
          <w:i w:val="0"/>
          <w:iCs w:val="0"/>
          <w:caps w:val="0"/>
          <w:color w:val="auto"/>
          <w:spacing w:val="0"/>
          <w:sz w:val="32"/>
          <w:szCs w:val="32"/>
          <w:highlight w:val="none"/>
        </w:rPr>
        <w:t>格式的；</w:t>
      </w:r>
    </w:p>
    <w:p w14:paraId="3885BD5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）承诺书中未按要求填写完整的；</w:t>
      </w:r>
    </w:p>
    <w:p w14:paraId="0CB8804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）比选小组认为竞选人的报价明显低于成本的，要求该竞选人做出说明，竞选人不能合理说明或者不能提供相应证明材料的，比选小组认定其竞选文件作废标处理；</w:t>
      </w:r>
    </w:p>
    <w:p w14:paraId="5409CA4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）报价</w:t>
      </w:r>
      <w:r>
        <w:rPr>
          <w:rFonts w:hint="eastAsia" w:ascii="仿宋_GB2312" w:hAnsi="仿宋_GB2312" w:eastAsia="仿宋_GB2312" w:cs="仿宋_GB2312"/>
          <w:i w:val="0"/>
          <w:iCs w:val="0"/>
          <w:caps w:val="0"/>
          <w:color w:val="auto"/>
          <w:spacing w:val="0"/>
          <w:sz w:val="32"/>
          <w:szCs w:val="32"/>
          <w:highlight w:val="none"/>
          <w:lang w:val="en-US" w:eastAsia="zh-CN"/>
        </w:rPr>
        <w:t>书</w:t>
      </w:r>
      <w:r>
        <w:rPr>
          <w:rFonts w:hint="eastAsia" w:ascii="仿宋_GB2312" w:hAnsi="仿宋_GB2312" w:eastAsia="仿宋_GB2312" w:cs="仿宋_GB2312"/>
          <w:i w:val="0"/>
          <w:iCs w:val="0"/>
          <w:caps w:val="0"/>
          <w:color w:val="auto"/>
          <w:spacing w:val="0"/>
          <w:sz w:val="32"/>
          <w:szCs w:val="32"/>
          <w:highlight w:val="none"/>
        </w:rPr>
        <w:t>中如有空白遗漏（包括分项报价、分表合计、总报价）等无价格情况，其该类别评分得零；</w:t>
      </w:r>
    </w:p>
    <w:p w14:paraId="688C93B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8</w:t>
      </w:r>
      <w:r>
        <w:rPr>
          <w:rFonts w:hint="eastAsia" w:ascii="仿宋_GB2312" w:hAnsi="仿宋_GB2312" w:eastAsia="仿宋_GB2312" w:cs="仿宋_GB2312"/>
          <w:i w:val="0"/>
          <w:iCs w:val="0"/>
          <w:caps w:val="0"/>
          <w:color w:val="auto"/>
          <w:spacing w:val="0"/>
          <w:sz w:val="32"/>
          <w:szCs w:val="32"/>
          <w:highlight w:val="none"/>
        </w:rPr>
        <w:t>）其他情形经比选小组一致决定作废的。</w:t>
      </w:r>
    </w:p>
    <w:p w14:paraId="1475CFD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公司确定并公布</w:t>
      </w:r>
      <w:r>
        <w:rPr>
          <w:rFonts w:hint="eastAsia" w:ascii="仿宋_GB2312" w:hAnsi="仿宋_GB2312" w:eastAsia="仿宋_GB2312" w:cs="仿宋_GB2312"/>
          <w:i w:val="0"/>
          <w:iCs w:val="0"/>
          <w:caps w:val="0"/>
          <w:color w:val="auto"/>
          <w:spacing w:val="0"/>
          <w:sz w:val="32"/>
          <w:szCs w:val="32"/>
          <w:highlight w:val="none"/>
          <w:lang w:val="en-US" w:eastAsia="zh-CN"/>
        </w:rPr>
        <w:t>中选候</w:t>
      </w:r>
      <w:r>
        <w:rPr>
          <w:rFonts w:hint="eastAsia" w:ascii="仿宋_GB2312" w:hAnsi="仿宋_GB2312" w:eastAsia="仿宋_GB2312" w:cs="仿宋_GB2312"/>
          <w:i w:val="0"/>
          <w:iCs w:val="0"/>
          <w:caps w:val="0"/>
          <w:color w:val="auto"/>
          <w:spacing w:val="0"/>
          <w:sz w:val="32"/>
          <w:szCs w:val="32"/>
          <w:highlight w:val="none"/>
        </w:rPr>
        <w:t>选人后，第一</w:t>
      </w:r>
      <w:r>
        <w:rPr>
          <w:rFonts w:hint="eastAsia" w:ascii="仿宋_GB2312" w:hAnsi="仿宋_GB2312" w:eastAsia="仿宋_GB2312" w:cs="仿宋_GB2312"/>
          <w:i w:val="0"/>
          <w:iCs w:val="0"/>
          <w:caps w:val="0"/>
          <w:color w:val="auto"/>
          <w:spacing w:val="0"/>
          <w:sz w:val="32"/>
          <w:szCs w:val="32"/>
          <w:highlight w:val="none"/>
          <w:lang w:val="en-US" w:eastAsia="zh-CN"/>
        </w:rPr>
        <w:t>中选候选人</w:t>
      </w:r>
      <w:r>
        <w:rPr>
          <w:rFonts w:hint="eastAsia" w:ascii="仿宋_GB2312" w:hAnsi="仿宋_GB2312" w:eastAsia="仿宋_GB2312" w:cs="仿宋_GB2312"/>
          <w:i w:val="0"/>
          <w:iCs w:val="0"/>
          <w:caps w:val="0"/>
          <w:color w:val="auto"/>
          <w:spacing w:val="0"/>
          <w:sz w:val="32"/>
          <w:szCs w:val="32"/>
          <w:highlight w:val="none"/>
        </w:rPr>
        <w:t>应在5个工作日内签订</w:t>
      </w:r>
      <w:r>
        <w:rPr>
          <w:rFonts w:hint="eastAsia" w:ascii="仿宋_GB2312" w:hAnsi="仿宋_GB2312" w:eastAsia="仿宋_GB2312" w:cs="仿宋_GB2312"/>
          <w:i w:val="0"/>
          <w:iCs w:val="0"/>
          <w:caps w:val="0"/>
          <w:color w:val="auto"/>
          <w:spacing w:val="0"/>
          <w:sz w:val="32"/>
          <w:szCs w:val="32"/>
          <w:highlight w:val="none"/>
          <w:lang w:val="en-US" w:eastAsia="zh-CN"/>
        </w:rPr>
        <w:t>项目合作协议</w:t>
      </w:r>
      <w:r>
        <w:rPr>
          <w:rFonts w:hint="eastAsia" w:ascii="仿宋_GB2312" w:hAnsi="仿宋_GB2312" w:eastAsia="仿宋_GB2312" w:cs="仿宋_GB2312"/>
          <w:i w:val="0"/>
          <w:iCs w:val="0"/>
          <w:caps w:val="0"/>
          <w:color w:val="auto"/>
          <w:spacing w:val="0"/>
          <w:sz w:val="32"/>
          <w:szCs w:val="32"/>
          <w:highlight w:val="none"/>
        </w:rPr>
        <w:t>，否则将视同自愿放弃</w:t>
      </w:r>
      <w:r>
        <w:rPr>
          <w:rFonts w:hint="eastAsia" w:ascii="仿宋_GB2312" w:hAnsi="仿宋_GB2312" w:eastAsia="仿宋_GB2312" w:cs="仿宋_GB2312"/>
          <w:i w:val="0"/>
          <w:iCs w:val="0"/>
          <w:caps w:val="0"/>
          <w:color w:val="auto"/>
          <w:spacing w:val="0"/>
          <w:sz w:val="32"/>
          <w:szCs w:val="32"/>
          <w:highlight w:val="none"/>
          <w:lang w:val="en-US" w:eastAsia="zh-CN"/>
        </w:rPr>
        <w:t>中选</w:t>
      </w:r>
      <w:r>
        <w:rPr>
          <w:rFonts w:hint="eastAsia" w:ascii="仿宋_GB2312" w:hAnsi="仿宋_GB2312" w:eastAsia="仿宋_GB2312" w:cs="仿宋_GB2312"/>
          <w:i w:val="0"/>
          <w:iCs w:val="0"/>
          <w:caps w:val="0"/>
          <w:color w:val="auto"/>
          <w:spacing w:val="0"/>
          <w:sz w:val="32"/>
          <w:szCs w:val="32"/>
          <w:highlight w:val="none"/>
        </w:rPr>
        <w:t>资格。</w:t>
      </w:r>
    </w:p>
    <w:p w14:paraId="7F5A832B">
      <w:pPr>
        <w:keepNext w:val="0"/>
        <w:keepLines w:val="0"/>
        <w:pageBreakBefore w:val="0"/>
        <w:widowControl/>
        <w:kinsoku/>
        <w:wordWrap/>
        <w:overflowPunct/>
        <w:topLinePunct w:val="0"/>
        <w:autoSpaceDE/>
        <w:autoSpaceDN/>
        <w:bidi w:val="0"/>
        <w:adjustRightInd/>
        <w:snapToGrid w:val="0"/>
        <w:spacing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六、比选程序</w:t>
      </w:r>
    </w:p>
    <w:p w14:paraId="548A8AC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一</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比选小组</w:t>
      </w:r>
    </w:p>
    <w:p w14:paraId="26A602F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比选小组由</w:t>
      </w:r>
      <w:r>
        <w:rPr>
          <w:rFonts w:hint="eastAsia" w:ascii="仿宋_GB2312" w:hAnsi="仿宋_GB2312" w:eastAsia="仿宋_GB2312" w:cs="仿宋_GB2312"/>
          <w:i w:val="0"/>
          <w:iCs w:val="0"/>
          <w:caps w:val="0"/>
          <w:color w:val="auto"/>
          <w:spacing w:val="0"/>
          <w:sz w:val="32"/>
          <w:szCs w:val="32"/>
          <w:highlight w:val="none"/>
          <w:lang w:val="en-US" w:eastAsia="zh-CN"/>
        </w:rPr>
        <w:t>四川省健康促进基金会（采购人）副秘书长陈佳曦、副秘书长赖倩、项目部部长曾筱晋、办公室主任曾馨、财务部副部长王偲燚5</w:t>
      </w:r>
      <w:r>
        <w:rPr>
          <w:rFonts w:hint="eastAsia" w:ascii="仿宋_GB2312" w:hAnsi="仿宋_GB2312" w:eastAsia="仿宋_GB2312" w:cs="仿宋_GB2312"/>
          <w:i w:val="0"/>
          <w:iCs w:val="0"/>
          <w:caps w:val="0"/>
          <w:color w:val="auto"/>
          <w:spacing w:val="0"/>
          <w:sz w:val="32"/>
          <w:szCs w:val="32"/>
          <w:highlight w:val="none"/>
        </w:rPr>
        <w:t>人组成。</w:t>
      </w:r>
      <w:r>
        <w:rPr>
          <w:rFonts w:hint="eastAsia" w:ascii="仿宋_GB2312" w:hAnsi="仿宋_GB2312" w:eastAsia="仿宋_GB2312" w:cs="仿宋_GB2312"/>
          <w:i w:val="0"/>
          <w:iCs w:val="0"/>
          <w:caps w:val="0"/>
          <w:color w:val="auto"/>
          <w:spacing w:val="0"/>
          <w:sz w:val="32"/>
          <w:szCs w:val="32"/>
          <w:highlight w:val="none"/>
          <w:lang w:val="en-US" w:eastAsia="zh-CN"/>
        </w:rPr>
        <w:t>由副秘书长陈佳曦担任</w:t>
      </w:r>
      <w:r>
        <w:rPr>
          <w:rFonts w:hint="eastAsia" w:ascii="仿宋_GB2312" w:hAnsi="仿宋_GB2312" w:eastAsia="仿宋_GB2312" w:cs="仿宋_GB2312"/>
          <w:i w:val="0"/>
          <w:iCs w:val="0"/>
          <w:caps w:val="0"/>
          <w:color w:val="auto"/>
          <w:spacing w:val="0"/>
          <w:sz w:val="32"/>
          <w:szCs w:val="32"/>
          <w:highlight w:val="none"/>
        </w:rPr>
        <w:t>比选小组组长。</w:t>
      </w:r>
    </w:p>
    <w:p w14:paraId="5770D91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二</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比选会议的监督</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本次比选会议邀请</w:t>
      </w:r>
      <w:r>
        <w:rPr>
          <w:rFonts w:hint="eastAsia" w:ascii="仿宋_GB2312" w:hAnsi="仿宋_GB2312" w:eastAsia="仿宋_GB2312" w:cs="仿宋_GB2312"/>
          <w:i w:val="0"/>
          <w:iCs w:val="0"/>
          <w:caps w:val="0"/>
          <w:color w:val="auto"/>
          <w:spacing w:val="0"/>
          <w:sz w:val="32"/>
          <w:szCs w:val="32"/>
          <w:highlight w:val="none"/>
          <w:lang w:val="en-US" w:eastAsia="zh-CN"/>
        </w:rPr>
        <w:t>副秘书长侯玉妍</w:t>
      </w:r>
      <w:r>
        <w:rPr>
          <w:rFonts w:hint="eastAsia" w:ascii="仿宋_GB2312" w:hAnsi="仿宋_GB2312" w:eastAsia="仿宋_GB2312" w:cs="仿宋_GB2312"/>
          <w:i w:val="0"/>
          <w:iCs w:val="0"/>
          <w:caps w:val="0"/>
          <w:color w:val="auto"/>
          <w:spacing w:val="0"/>
          <w:sz w:val="32"/>
          <w:szCs w:val="32"/>
          <w:highlight w:val="none"/>
        </w:rPr>
        <w:t>参与，全程监督。</w:t>
      </w:r>
    </w:p>
    <w:p w14:paraId="51A390A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三</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按比选文件规定的时间和地点进行。竞选人应达到三家或超过三家召开比选会。因特殊情况，如竞选人只有二家，比选小组认为具有竞争性可以投票表决决定是否继续进行比选，票数超过三分之二的则继续进行比选。</w:t>
      </w:r>
    </w:p>
    <w:p w14:paraId="54C2C31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四</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至文件递交截止时间，比选人组织召开比选会议。现场查验各文件情况后，开启文件，现场公布报价。公布报价后，各报价人退出会场。比选小组成员对供应商</w:t>
      </w:r>
      <w:r>
        <w:rPr>
          <w:rFonts w:hint="eastAsia" w:ascii="仿宋_GB2312" w:hAnsi="仿宋_GB2312" w:eastAsia="仿宋_GB2312" w:cs="仿宋_GB2312"/>
          <w:i w:val="0"/>
          <w:iCs w:val="0"/>
          <w:caps w:val="0"/>
          <w:color w:val="auto"/>
          <w:spacing w:val="0"/>
          <w:sz w:val="32"/>
          <w:szCs w:val="32"/>
          <w:highlight w:val="none"/>
          <w:lang w:val="en-US" w:eastAsia="zh-CN"/>
        </w:rPr>
        <w:t>报价进行计分</w:t>
      </w:r>
      <w:r>
        <w:rPr>
          <w:rFonts w:hint="eastAsia" w:ascii="仿宋_GB2312" w:hAnsi="仿宋_GB2312" w:eastAsia="仿宋_GB2312" w:cs="仿宋_GB2312"/>
          <w:i w:val="0"/>
          <w:iCs w:val="0"/>
          <w:caps w:val="0"/>
          <w:color w:val="auto"/>
          <w:spacing w:val="0"/>
          <w:sz w:val="32"/>
          <w:szCs w:val="32"/>
          <w:highlight w:val="none"/>
        </w:rPr>
        <w:t>。</w:t>
      </w:r>
    </w:p>
    <w:p w14:paraId="7544342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五</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推荐中选候选人名单。评审结束后，比选小组对满足比选文件实质性要求的文件，按照经评审的结果进行顺序排名。比选小组应推荐排名第一名的竞选人为中选候选人，并经比选小组成员签字确认。确认中选人后应向参加本次比选采购的竞选人公布中选供应商。</w:t>
      </w:r>
    </w:p>
    <w:p w14:paraId="262296D0">
      <w:pPr>
        <w:keepNext w:val="0"/>
        <w:keepLines w:val="0"/>
        <w:pageBreakBefore w:val="0"/>
        <w:widowControl/>
        <w:kinsoku/>
        <w:wordWrap/>
        <w:overflowPunct/>
        <w:topLinePunct w:val="0"/>
        <w:autoSpaceDE/>
        <w:autoSpaceDN/>
        <w:bidi w:val="0"/>
        <w:adjustRightInd/>
        <w:snapToGrid w:val="0"/>
        <w:spacing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七、提交竞选文件截止时间、比选时间和地点</w:t>
      </w:r>
    </w:p>
    <w:p w14:paraId="4D118A4F">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bCs/>
          <w:color w:val="auto"/>
          <w:sz w:val="32"/>
          <w:szCs w:val="32"/>
          <w:highlight w:val="none"/>
          <w:u w:val="single"/>
          <w:lang w:val="en-US" w:eastAsia="zh-CN"/>
        </w:rPr>
      </w:pPr>
      <w:r>
        <w:rPr>
          <w:rFonts w:hint="eastAsia" w:ascii="仿宋_GB2312" w:hAnsi="仿宋_GB2312" w:eastAsia="仿宋_GB2312" w:cs="仿宋_GB2312"/>
          <w:color w:val="auto"/>
          <w:sz w:val="32"/>
          <w:szCs w:val="32"/>
          <w:highlight w:val="none"/>
        </w:rPr>
        <w:t>截止时间、</w:t>
      </w: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时间：</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6</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bCs/>
          <w:color w:val="auto"/>
          <w:sz w:val="32"/>
          <w:szCs w:val="32"/>
          <w:highlight w:val="none"/>
          <w:u w:val="single"/>
          <w:lang w:val="en-US" w:eastAsia="zh-CN"/>
        </w:rPr>
        <w:t>3</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23</w:t>
      </w:r>
      <w:r>
        <w:rPr>
          <w:rFonts w:hint="eastAsia" w:ascii="仿宋_GB2312" w:hAnsi="仿宋_GB2312" w:eastAsia="仿宋_GB2312" w:cs="仿宋_GB2312"/>
          <w:bCs/>
          <w:color w:val="auto"/>
          <w:sz w:val="32"/>
          <w:szCs w:val="32"/>
          <w:highlight w:val="none"/>
          <w:u w:val="single"/>
        </w:rPr>
        <w:t>日</w:t>
      </w:r>
      <w:r>
        <w:rPr>
          <w:rFonts w:hint="eastAsia" w:ascii="仿宋_GB2312" w:hAnsi="仿宋_GB2312" w:eastAsia="仿宋_GB2312" w:cs="仿宋_GB2312"/>
          <w:bCs/>
          <w:color w:val="auto"/>
          <w:sz w:val="32"/>
          <w:szCs w:val="32"/>
          <w:highlight w:val="none"/>
          <w:u w:val="single"/>
          <w:lang w:val="en-US" w:eastAsia="zh-CN"/>
        </w:rPr>
        <w:t>17</w:t>
      </w:r>
      <w:r>
        <w:rPr>
          <w:rFonts w:hint="eastAsia" w:ascii="仿宋_GB2312" w:hAnsi="仿宋_GB2312" w:eastAsia="仿宋_GB2312" w:cs="仿宋_GB2312"/>
          <w:bCs/>
          <w:color w:val="auto"/>
          <w:sz w:val="32"/>
          <w:szCs w:val="32"/>
          <w:highlight w:val="none"/>
          <w:u w:val="single"/>
        </w:rPr>
        <w:t>点00分</w:t>
      </w:r>
      <w:r>
        <w:rPr>
          <w:rFonts w:hint="eastAsia" w:ascii="仿宋_GB2312" w:hAnsi="仿宋_GB2312" w:eastAsia="仿宋_GB2312" w:cs="仿宋_GB2312"/>
          <w:bCs/>
          <w:color w:val="auto"/>
          <w:sz w:val="32"/>
          <w:szCs w:val="32"/>
          <w:highlight w:val="none"/>
        </w:rPr>
        <w:t>（北京时间）</w:t>
      </w:r>
    </w:p>
    <w:p w14:paraId="30C7540B">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地点：</w:t>
      </w:r>
      <w:r>
        <w:rPr>
          <w:rFonts w:hint="eastAsia" w:ascii="仿宋_GB2312" w:hAnsi="仿宋_GB2312" w:eastAsia="仿宋_GB2312" w:cs="仿宋_GB2312"/>
          <w:color w:val="auto"/>
          <w:sz w:val="32"/>
          <w:szCs w:val="32"/>
          <w:highlight w:val="none"/>
          <w:u w:val="single"/>
        </w:rPr>
        <w:t>成都市青羊区金盾路52号国栋大厦</w:t>
      </w:r>
      <w:r>
        <w:rPr>
          <w:rFonts w:hint="eastAsia" w:ascii="仿宋_GB2312" w:hAnsi="仿宋_GB2312" w:eastAsia="仿宋_GB2312" w:cs="仿宋_GB2312"/>
          <w:color w:val="auto"/>
          <w:sz w:val="32"/>
          <w:szCs w:val="32"/>
          <w:highlight w:val="none"/>
          <w:u w:val="single"/>
          <w:lang w:val="en-US" w:eastAsia="zh-CN"/>
        </w:rPr>
        <w:t>9</w:t>
      </w:r>
      <w:r>
        <w:rPr>
          <w:rFonts w:hint="eastAsia" w:ascii="仿宋_GB2312" w:hAnsi="仿宋_GB2312" w:eastAsia="仿宋_GB2312" w:cs="仿宋_GB2312"/>
          <w:color w:val="auto"/>
          <w:sz w:val="32"/>
          <w:szCs w:val="32"/>
          <w:highlight w:val="none"/>
          <w:u w:val="single"/>
        </w:rPr>
        <w:t>楼</w:t>
      </w:r>
      <w:r>
        <w:rPr>
          <w:rFonts w:hint="eastAsia" w:ascii="仿宋_GB2312" w:hAnsi="仿宋_GB2312" w:eastAsia="仿宋_GB2312" w:cs="仿宋_GB2312"/>
          <w:color w:val="auto"/>
          <w:sz w:val="32"/>
          <w:szCs w:val="32"/>
          <w:highlight w:val="none"/>
          <w:u w:val="single"/>
          <w:lang w:val="en-US" w:eastAsia="zh-CN"/>
        </w:rPr>
        <w:t>D</w:t>
      </w:r>
      <w:r>
        <w:rPr>
          <w:rFonts w:hint="eastAsia" w:ascii="仿宋_GB2312" w:hAnsi="仿宋_GB2312" w:eastAsia="仿宋_GB2312" w:cs="仿宋_GB2312"/>
          <w:color w:val="auto"/>
          <w:sz w:val="32"/>
          <w:szCs w:val="32"/>
          <w:highlight w:val="none"/>
          <w:u w:val="single"/>
        </w:rPr>
        <w:t>座</w:t>
      </w:r>
    </w:p>
    <w:p w14:paraId="6BDB978C">
      <w:pPr>
        <w:keepNext w:val="0"/>
        <w:keepLines w:val="0"/>
        <w:pageBreakBefore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rPr>
        <w:t>比选申请文件必须在递交截止时间前送达指定地点，逾期送达或密封和标注不符合比选文件规定的比选申请文件恕不接受</w:t>
      </w:r>
      <w:r>
        <w:rPr>
          <w:rFonts w:hint="eastAsia" w:ascii="仿宋_GB2312" w:hAnsi="仿宋_GB2312" w:eastAsia="仿宋_GB2312" w:cs="仿宋_GB2312"/>
          <w:color w:val="auto"/>
          <w:sz w:val="32"/>
          <w:szCs w:val="32"/>
          <w:highlight w:val="none"/>
          <w:u w:val="none"/>
          <w:lang w:eastAsia="zh-CN"/>
        </w:rPr>
        <w:t>。</w:t>
      </w:r>
    </w:p>
    <w:p w14:paraId="6444347C">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八、答疑</w:t>
      </w:r>
    </w:p>
    <w:p w14:paraId="0FBBD75D">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竞选人对比选文件有疑问，应在202</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3</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20</w:t>
      </w:r>
      <w:r>
        <w:rPr>
          <w:rFonts w:hint="eastAsia" w:ascii="仿宋_GB2312" w:hAnsi="仿宋_GB2312" w:eastAsia="仿宋_GB2312" w:cs="仿宋_GB2312"/>
          <w:i w:val="0"/>
          <w:iCs w:val="0"/>
          <w:caps w:val="0"/>
          <w:color w:val="auto"/>
          <w:spacing w:val="0"/>
          <w:sz w:val="32"/>
          <w:szCs w:val="32"/>
          <w:highlight w:val="none"/>
        </w:rPr>
        <w:t>日12:00前以书面形式（信函、传真、电子邮件）要求比选人答疑，信函邮寄地址、传真、电子邮件见本章“联系方式”条款。比选人于202</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3</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23</w:t>
      </w:r>
      <w:r>
        <w:rPr>
          <w:rFonts w:hint="eastAsia" w:ascii="仿宋_GB2312" w:hAnsi="仿宋_GB2312" w:eastAsia="仿宋_GB2312" w:cs="仿宋_GB2312"/>
          <w:i w:val="0"/>
          <w:iCs w:val="0"/>
          <w:caps w:val="0"/>
          <w:color w:val="auto"/>
          <w:spacing w:val="0"/>
          <w:sz w:val="32"/>
          <w:szCs w:val="32"/>
          <w:highlight w:val="none"/>
        </w:rPr>
        <w:t>日</w:t>
      </w:r>
      <w:r>
        <w:rPr>
          <w:rFonts w:hint="eastAsia" w:ascii="仿宋_GB2312" w:hAnsi="仿宋_GB2312" w:eastAsia="仿宋_GB2312" w:cs="仿宋_GB2312"/>
          <w:i w:val="0"/>
          <w:iCs w:val="0"/>
          <w:caps w:val="0"/>
          <w:color w:val="auto"/>
          <w:spacing w:val="0"/>
          <w:sz w:val="32"/>
          <w:szCs w:val="32"/>
          <w:highlight w:val="none"/>
          <w:lang w:val="en-US" w:eastAsia="zh-CN"/>
        </w:rPr>
        <w:t>12</w:t>
      </w:r>
      <w:r>
        <w:rPr>
          <w:rFonts w:hint="eastAsia" w:ascii="仿宋_GB2312" w:hAnsi="仿宋_GB2312" w:eastAsia="仿宋_GB2312" w:cs="仿宋_GB2312"/>
          <w:i w:val="0"/>
          <w:iCs w:val="0"/>
          <w:caps w:val="0"/>
          <w:color w:val="auto"/>
          <w:spacing w:val="0"/>
          <w:sz w:val="32"/>
          <w:szCs w:val="32"/>
          <w:highlight w:val="none"/>
        </w:rPr>
        <w:t>:00前将答疑发布到</w:t>
      </w:r>
      <w:r>
        <w:rPr>
          <w:rFonts w:hint="eastAsia" w:ascii="仿宋_GB2312" w:hAnsi="仿宋_GB2312" w:eastAsia="仿宋_GB2312" w:cs="仿宋_GB2312"/>
          <w:i w:val="0"/>
          <w:iCs w:val="0"/>
          <w:caps w:val="0"/>
          <w:color w:val="auto"/>
          <w:spacing w:val="0"/>
          <w:sz w:val="32"/>
          <w:szCs w:val="32"/>
          <w:highlight w:val="none"/>
          <w:lang w:val="en-US" w:eastAsia="zh-CN"/>
        </w:rPr>
        <w:t>四川省健康促进基金会</w:t>
      </w:r>
      <w:r>
        <w:rPr>
          <w:rFonts w:hint="eastAsia" w:ascii="仿宋_GB2312" w:hAnsi="仿宋_GB2312" w:eastAsia="仿宋_GB2312" w:cs="仿宋_GB2312"/>
          <w:i w:val="0"/>
          <w:iCs w:val="0"/>
          <w:caps w:val="0"/>
          <w:color w:val="auto"/>
          <w:spacing w:val="0"/>
          <w:sz w:val="32"/>
          <w:szCs w:val="32"/>
          <w:highlight w:val="none"/>
        </w:rPr>
        <w:t>官网由竞选人自行下载。无论竞选人是否下载，均视为竞选人已知晓答疑内容，并全面了解和接受比选文件内容。</w:t>
      </w:r>
    </w:p>
    <w:p w14:paraId="6CE39C29">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九、联系方式</w:t>
      </w:r>
    </w:p>
    <w:p w14:paraId="0E48524E">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比选人：</w:t>
      </w:r>
      <w:r>
        <w:rPr>
          <w:rFonts w:hint="eastAsia" w:ascii="仿宋_GB2312" w:hAnsi="仿宋_GB2312" w:eastAsia="仿宋_GB2312" w:cs="仿宋_GB2312"/>
          <w:color w:val="auto"/>
          <w:sz w:val="32"/>
          <w:szCs w:val="32"/>
          <w:highlight w:val="none"/>
          <w:lang w:val="en-US" w:eastAsia="zh-CN"/>
        </w:rPr>
        <w:t>四川省健康促进基金会</w:t>
      </w:r>
    </w:p>
    <w:p w14:paraId="07FFDEA0">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地址：成都市青羊区金盾路52号国栋大厦</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楼</w:t>
      </w:r>
      <w:r>
        <w:rPr>
          <w:rFonts w:hint="eastAsia" w:ascii="仿宋_GB2312" w:hAnsi="仿宋_GB2312" w:eastAsia="仿宋_GB2312" w:cs="仿宋_GB2312"/>
          <w:color w:val="auto"/>
          <w:sz w:val="32"/>
          <w:szCs w:val="32"/>
          <w:highlight w:val="none"/>
          <w:lang w:val="en-US" w:eastAsia="zh-CN"/>
        </w:rPr>
        <w:t>D</w:t>
      </w:r>
      <w:r>
        <w:rPr>
          <w:rFonts w:hint="eastAsia" w:ascii="仿宋_GB2312" w:hAnsi="仿宋_GB2312" w:eastAsia="仿宋_GB2312" w:cs="仿宋_GB2312"/>
          <w:color w:val="auto"/>
          <w:sz w:val="32"/>
          <w:szCs w:val="32"/>
          <w:highlight w:val="none"/>
        </w:rPr>
        <w:t>座</w:t>
      </w:r>
    </w:p>
    <w:p w14:paraId="0079775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联系人：</w:t>
      </w:r>
      <w:r>
        <w:rPr>
          <w:rFonts w:hint="eastAsia" w:ascii="仿宋_GB2312" w:hAnsi="仿宋_GB2312" w:eastAsia="仿宋_GB2312" w:cs="仿宋_GB2312"/>
          <w:color w:val="auto"/>
          <w:sz w:val="32"/>
          <w:szCs w:val="32"/>
          <w:highlight w:val="none"/>
          <w:lang w:val="en-US" w:eastAsia="zh-CN"/>
        </w:rPr>
        <w:t>曾馨</w:t>
      </w:r>
    </w:p>
    <w:p w14:paraId="1D6B2B3C">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联系电话：</w:t>
      </w:r>
      <w:r>
        <w:rPr>
          <w:rFonts w:hint="eastAsia" w:ascii="仿宋_GB2312" w:hAnsi="仿宋_GB2312" w:eastAsia="仿宋_GB2312" w:cs="仿宋_GB2312"/>
          <w:color w:val="auto"/>
          <w:sz w:val="32"/>
          <w:szCs w:val="32"/>
          <w:highlight w:val="none"/>
          <w:lang w:val="en-US" w:eastAsia="zh-CN"/>
        </w:rPr>
        <w:t>18683662263</w:t>
      </w:r>
    </w:p>
    <w:p w14:paraId="6F00AF92">
      <w:pPr>
        <w:jc w:val="both"/>
        <w:rPr>
          <w:rStyle w:val="11"/>
          <w:rFonts w:hint="eastAsia" w:ascii="Cambria" w:hAnsi="Cambria"/>
          <w:b/>
          <w:color w:val="auto"/>
          <w:kern w:val="0"/>
          <w:szCs w:val="36"/>
          <w:highlight w:val="none"/>
        </w:rPr>
      </w:pPr>
    </w:p>
    <w:p w14:paraId="28818F53">
      <w:pPr>
        <w:pStyle w:val="3"/>
        <w:numPr>
          <w:ilvl w:val="0"/>
          <w:numId w:val="0"/>
        </w:numPr>
        <w:jc w:val="both"/>
        <w:rPr>
          <w:rFonts w:hint="eastAsia" w:ascii="宋体" w:hAnsi="宋体" w:eastAsia="宋体" w:cs="宋体"/>
          <w:color w:val="auto"/>
          <w:sz w:val="32"/>
          <w:szCs w:val="32"/>
          <w:highlight w:val="none"/>
          <w:lang w:eastAsia="zh-Hans"/>
        </w:rPr>
      </w:pPr>
    </w:p>
    <w:p w14:paraId="0BB8DF7D">
      <w:pPr>
        <w:jc w:val="both"/>
        <w:rPr>
          <w:rFonts w:hint="eastAsia" w:ascii="华文仿宋" w:hAnsi="华文仿宋" w:eastAsia="华文仿宋" w:cs="华文仿宋"/>
          <w:b/>
          <w:bCs/>
          <w:color w:val="auto"/>
          <w:spacing w:val="73"/>
          <w:sz w:val="57"/>
          <w:szCs w:val="57"/>
          <w:highlight w:val="none"/>
        </w:rPr>
      </w:pPr>
      <w:r>
        <w:rPr>
          <w:rFonts w:hint="eastAsia" w:ascii="华文仿宋" w:hAnsi="华文仿宋" w:eastAsia="华文仿宋" w:cs="华文仿宋"/>
          <w:b/>
          <w:bCs/>
          <w:color w:val="auto"/>
          <w:spacing w:val="73"/>
          <w:sz w:val="57"/>
          <w:szCs w:val="57"/>
          <w:highlight w:val="none"/>
        </w:rPr>
        <w:br w:type="page"/>
      </w:r>
    </w:p>
    <w:p w14:paraId="5D2EBB02">
      <w:pPr>
        <w:pStyle w:val="3"/>
        <w:spacing w:line="579" w:lineRule="exact"/>
        <w:jc w:val="both"/>
        <w:rPr>
          <w:rFonts w:hint="eastAsia" w:ascii="宋体" w:hAnsi="宋体" w:eastAsia="宋体" w:cs="宋体"/>
          <w:bCs w:val="0"/>
          <w:color w:val="auto"/>
          <w:kern w:val="0"/>
          <w:sz w:val="44"/>
          <w:szCs w:val="44"/>
          <w:highlight w:val="none"/>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CFA405E">
      <w:pPr>
        <w:pStyle w:val="3"/>
        <w:numPr>
          <w:ilvl w:val="0"/>
          <w:numId w:val="4"/>
        </w:numPr>
        <w:spacing w:before="0" w:after="0" w:line="579" w:lineRule="exact"/>
        <w:jc w:val="cente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t>法定代表人证明文件及授权书</w:t>
      </w:r>
    </w:p>
    <w:p w14:paraId="421AD88C">
      <w:pPr>
        <w:numPr>
          <w:ilvl w:val="0"/>
          <w:numId w:val="0"/>
        </w:numPr>
        <w:rPr>
          <w:rFonts w:hint="default"/>
          <w:lang w:val="en-US" w:eastAsia="zh-CN"/>
        </w:rPr>
      </w:pPr>
    </w:p>
    <w:p w14:paraId="77A4C6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00" w:firstLineChars="200"/>
        <w:jc w:val="both"/>
        <w:textAlignment w:val="auto"/>
        <w:rPr>
          <w:rFonts w:hint="eastAsia" w:ascii="宋体" w:hAnsi="宋体" w:eastAsia="宋体" w:cs="宋体"/>
          <w:szCs w:val="21"/>
        </w:rPr>
      </w:pPr>
      <w:r>
        <w:rPr>
          <w:rFonts w:hint="eastAsia" w:ascii="宋体" w:hAnsi="宋体" w:eastAsia="宋体" w:cs="宋体"/>
          <w:szCs w:val="21"/>
        </w:rPr>
        <w:t>本公司</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u w:val="none"/>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参加2026阿尔茨海默病诊疗新生态学术交流会会议服务供应商采购的竞选活动，法定代表人</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w:t>
      </w:r>
      <w:r>
        <w:rPr>
          <w:rFonts w:hint="eastAsia" w:ascii="宋体" w:hAnsi="宋体" w:eastAsia="宋体" w:cs="宋体"/>
          <w:szCs w:val="21"/>
          <w:lang w:eastAsia="zh-CN"/>
        </w:rPr>
        <w:t>身份证号【</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，现授权</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】身份证号【</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为响应代表人，代表本公司参加基金会组织的竞选活动，全权代表本公司处理响应过程的一切事宜，包括但不限于：响应、参与报价、评选、签约等。响应代表在响应过程中所签署的一切文件和处理与之有关的一切事务，本公司均予以认可并对此承担责任。响应代表无转委托权。</w:t>
      </w:r>
    </w:p>
    <w:p w14:paraId="0D524BEE">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 xml:space="preserve">本授权书于 </w:t>
      </w:r>
      <w:r>
        <w:rPr>
          <w:rFonts w:hint="eastAsia" w:cs="宋体"/>
          <w:szCs w:val="21"/>
          <w:lang w:val="en-US" w:eastAsia="zh-CN"/>
        </w:rPr>
        <w:t xml:space="preserve">  </w:t>
      </w:r>
      <w:r>
        <w:rPr>
          <w:rFonts w:hint="eastAsia" w:ascii="宋体" w:hAnsi="宋体" w:eastAsia="宋体" w:cs="宋体"/>
          <w:szCs w:val="21"/>
        </w:rPr>
        <w:t>年</w:t>
      </w:r>
      <w:r>
        <w:rPr>
          <w:rFonts w:hint="eastAsia" w:cs="宋体"/>
          <w:szCs w:val="21"/>
          <w:lang w:val="en-US" w:eastAsia="zh-CN"/>
        </w:rPr>
        <w:t xml:space="preserve">  </w:t>
      </w:r>
      <w:r>
        <w:rPr>
          <w:rFonts w:hint="eastAsia" w:ascii="宋体" w:hAnsi="宋体" w:eastAsia="宋体" w:cs="宋体"/>
          <w:szCs w:val="21"/>
        </w:rPr>
        <w:t>月</w:t>
      </w:r>
      <w:r>
        <w:rPr>
          <w:rFonts w:hint="eastAsia" w:cs="宋体"/>
          <w:szCs w:val="21"/>
          <w:lang w:val="en-US" w:eastAsia="zh-CN"/>
        </w:rPr>
        <w:t xml:space="preserve">  </w:t>
      </w:r>
      <w:r>
        <w:rPr>
          <w:rFonts w:hint="eastAsia" w:ascii="宋体" w:hAnsi="宋体" w:eastAsia="宋体" w:cs="宋体"/>
          <w:szCs w:val="21"/>
        </w:rPr>
        <w:t>日签字生效。</w:t>
      </w:r>
    </w:p>
    <w:p w14:paraId="56D30F2A">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本授权书有效期至项目结束。</w:t>
      </w:r>
    </w:p>
    <w:p w14:paraId="0AD6E27D">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特此授权。</w:t>
      </w:r>
    </w:p>
    <w:p w14:paraId="6C156A86">
      <w:pPr>
        <w:spacing w:line="360" w:lineRule="auto"/>
        <w:ind w:right="105" w:firstLine="400" w:firstLineChars="200"/>
        <w:jc w:val="left"/>
        <w:rPr>
          <w:rFonts w:hint="eastAsia" w:ascii="宋体" w:hAnsi="宋体" w:eastAsia="宋体" w:cs="宋体"/>
          <w:szCs w:val="21"/>
        </w:rPr>
      </w:pPr>
      <w:r>
        <w:rPr>
          <w:rFonts w:hint="eastAsia" w:ascii="宋体" w:hAnsi="宋体" w:eastAsia="宋体" w:cs="宋体"/>
          <w:szCs w:val="21"/>
        </w:rPr>
        <w:t>附：法定代表人（单位负责人）身份证复印件及委托代理人身份证复印件</w:t>
      </w:r>
    </w:p>
    <w:tbl>
      <w:tblPr>
        <w:tblStyle w:val="9"/>
        <w:tblW w:w="10740" w:type="dxa"/>
        <w:tblInd w:w="-1166"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988"/>
        <w:gridCol w:w="4876"/>
        <w:gridCol w:w="4876"/>
      </w:tblGrid>
      <w:tr w14:paraId="40ABF87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7A0F68F2">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法定代表人</w:t>
            </w:r>
          </w:p>
          <w:p w14:paraId="413E04D2">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（单位负责人）</w:t>
            </w:r>
          </w:p>
        </w:tc>
        <w:tc>
          <w:tcPr>
            <w:tcW w:w="4876" w:type="dxa"/>
            <w:vAlign w:val="center"/>
          </w:tcPr>
          <w:p w14:paraId="3774AF21">
            <w:pPr>
              <w:spacing w:line="360" w:lineRule="auto"/>
              <w:ind w:right="105"/>
              <w:jc w:val="center"/>
              <w:rPr>
                <w:rFonts w:hint="eastAsia" w:ascii="宋体" w:hAnsi="宋体" w:eastAsia="宋体" w:cs="宋体"/>
                <w:kern w:val="0"/>
                <w:sz w:val="20"/>
                <w:szCs w:val="21"/>
              </w:rPr>
            </w:pPr>
          </w:p>
        </w:tc>
        <w:tc>
          <w:tcPr>
            <w:tcW w:w="4876" w:type="dxa"/>
            <w:vAlign w:val="center"/>
          </w:tcPr>
          <w:p w14:paraId="11E338B6">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反面</w:t>
            </w:r>
          </w:p>
        </w:tc>
      </w:tr>
      <w:tr w14:paraId="3B602B5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539093C8">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委托代理人</w:t>
            </w:r>
          </w:p>
        </w:tc>
        <w:tc>
          <w:tcPr>
            <w:tcW w:w="4876" w:type="dxa"/>
            <w:vAlign w:val="center"/>
          </w:tcPr>
          <w:p w14:paraId="63015E1C">
            <w:pPr>
              <w:spacing w:line="360" w:lineRule="auto"/>
              <w:ind w:right="105"/>
              <w:jc w:val="center"/>
              <w:rPr>
                <w:rFonts w:hint="eastAsia" w:ascii="宋体" w:hAnsi="宋体" w:eastAsia="宋体" w:cs="宋体"/>
                <w:kern w:val="0"/>
                <w:sz w:val="20"/>
                <w:szCs w:val="21"/>
              </w:rPr>
            </w:pPr>
          </w:p>
        </w:tc>
        <w:tc>
          <w:tcPr>
            <w:tcW w:w="4876" w:type="dxa"/>
            <w:vAlign w:val="center"/>
          </w:tcPr>
          <w:p w14:paraId="0C62ED53">
            <w:pPr>
              <w:spacing w:line="360" w:lineRule="auto"/>
              <w:ind w:right="105"/>
              <w:jc w:val="center"/>
              <w:rPr>
                <w:rFonts w:hint="eastAsia" w:ascii="宋体" w:hAnsi="宋体" w:eastAsia="宋体" w:cs="宋体"/>
                <w:kern w:val="0"/>
                <w:sz w:val="20"/>
                <w:szCs w:val="21"/>
              </w:rPr>
            </w:pPr>
          </w:p>
        </w:tc>
      </w:tr>
    </w:tbl>
    <w:p w14:paraId="326F012F">
      <w:pPr>
        <w:adjustRightInd w:val="0"/>
        <w:snapToGrid w:val="0"/>
        <w:spacing w:line="360" w:lineRule="auto"/>
        <w:rPr>
          <w:rFonts w:hint="eastAsia" w:ascii="宋体" w:hAnsi="宋体" w:eastAsia="宋体" w:cs="宋体"/>
          <w:sz w:val="10"/>
          <w:szCs w:val="10"/>
        </w:rPr>
      </w:pPr>
    </w:p>
    <w:p w14:paraId="4E4ABA5F">
      <w:pPr>
        <w:adjustRightInd w:val="0"/>
        <w:snapToGrid w:val="0"/>
        <w:spacing w:line="360" w:lineRule="auto"/>
        <w:rPr>
          <w:rFonts w:hint="default" w:ascii="宋体" w:hAnsi="宋体" w:eastAsia="宋体" w:cs="宋体"/>
          <w:szCs w:val="21"/>
          <w:lang w:val="en-US"/>
        </w:rPr>
      </w:pPr>
      <w:r>
        <w:rPr>
          <w:rFonts w:hint="eastAsia" w:ascii="宋体" w:hAnsi="宋体" w:eastAsia="宋体" w:cs="宋体"/>
          <w:szCs w:val="21"/>
        </w:rPr>
        <w:t>投标</w:t>
      </w:r>
      <w:r>
        <w:rPr>
          <w:rFonts w:hint="eastAsia" w:cs="宋体"/>
          <w:szCs w:val="21"/>
          <w:lang w:val="en-US" w:eastAsia="zh-CN"/>
        </w:rPr>
        <w:t>供应商</w:t>
      </w:r>
      <w:r>
        <w:rPr>
          <w:rFonts w:hint="eastAsia" w:ascii="宋体" w:hAnsi="宋体" w:eastAsia="宋体" w:cs="宋体"/>
          <w:szCs w:val="21"/>
        </w:rPr>
        <w:t>名称（公章）：</w:t>
      </w:r>
    </w:p>
    <w:p w14:paraId="48F9793E">
      <w:pPr>
        <w:adjustRightInd w:val="0"/>
        <w:snapToGrid w:val="0"/>
        <w:spacing w:line="360" w:lineRule="auto"/>
        <w:rPr>
          <w:rFonts w:hint="eastAsia" w:ascii="宋体" w:hAnsi="宋体" w:eastAsia="宋体" w:cs="宋体"/>
          <w:sz w:val="10"/>
          <w:szCs w:val="10"/>
        </w:rPr>
      </w:pPr>
    </w:p>
    <w:p w14:paraId="5CED4557">
      <w:pPr>
        <w:adjustRightInd w:val="0"/>
        <w:snapToGrid w:val="0"/>
        <w:spacing w:line="360" w:lineRule="auto"/>
        <w:rPr>
          <w:rFonts w:hint="eastAsia" w:ascii="宋体" w:hAnsi="宋体" w:eastAsia="宋体" w:cs="宋体"/>
          <w:szCs w:val="21"/>
          <w:lang w:eastAsia="zh-CN"/>
        </w:rPr>
      </w:pPr>
      <w:r>
        <w:rPr>
          <w:rFonts w:hint="eastAsia" w:ascii="宋体" w:hAnsi="宋体" w:eastAsia="宋体" w:cs="宋体"/>
          <w:szCs w:val="21"/>
        </w:rPr>
        <w:t>法定代表人</w:t>
      </w:r>
      <w:r>
        <w:rPr>
          <w:rFonts w:hint="eastAsia" w:ascii="宋体" w:hAnsi="宋体" w:eastAsia="宋体" w:cs="宋体"/>
        </w:rPr>
        <w:t>（单位负责人）</w:t>
      </w:r>
      <w:r>
        <w:rPr>
          <w:rFonts w:hint="eastAsia" w:ascii="宋体" w:hAnsi="宋体" w:eastAsia="宋体" w:cs="宋体"/>
          <w:szCs w:val="21"/>
        </w:rPr>
        <w:t>签字：</w:t>
      </w:r>
    </w:p>
    <w:p w14:paraId="5CF7170A">
      <w:pPr>
        <w:adjustRightInd w:val="0"/>
        <w:snapToGrid w:val="0"/>
        <w:spacing w:line="360" w:lineRule="auto"/>
        <w:rPr>
          <w:rFonts w:hint="eastAsia" w:ascii="宋体" w:hAnsi="宋体" w:eastAsia="宋体" w:cs="宋体"/>
          <w:sz w:val="10"/>
          <w:szCs w:val="10"/>
        </w:rPr>
      </w:pPr>
    </w:p>
    <w:p w14:paraId="570F6B6C">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委托代理人签字：</w:t>
      </w:r>
    </w:p>
    <w:p w14:paraId="1E242C1F">
      <w:pPr>
        <w:adjustRightInd w:val="0"/>
        <w:snapToGrid w:val="0"/>
        <w:spacing w:line="360" w:lineRule="auto"/>
        <w:rPr>
          <w:rFonts w:hint="eastAsia" w:ascii="宋体" w:hAnsi="宋体" w:eastAsia="宋体" w:cs="宋体"/>
          <w:sz w:val="10"/>
          <w:szCs w:val="10"/>
        </w:rPr>
      </w:pPr>
    </w:p>
    <w:p w14:paraId="63504E20">
      <w:pPr>
        <w:keepNext w:val="0"/>
        <w:keepLines w:val="0"/>
        <w:pageBreakBefore w:val="0"/>
        <w:widowControl w:val="0"/>
        <w:kinsoku/>
        <w:wordWrap/>
        <w:overflowPunct/>
        <w:topLinePunct w:val="0"/>
        <w:autoSpaceDE/>
        <w:autoSpaceDN/>
        <w:bidi w:val="0"/>
        <w:adjustRightInd w:val="0"/>
        <w:snapToGrid w:val="0"/>
        <w:spacing w:line="400" w:lineRule="exact"/>
        <w:ind w:firstLine="400" w:firstLineChars="200"/>
        <w:jc w:val="left"/>
        <w:textAlignment w:val="auto"/>
        <w:rPr>
          <w:rFonts w:ascii="宋体" w:hAnsi="宋体"/>
          <w:b/>
          <w:szCs w:val="21"/>
        </w:rPr>
      </w:pPr>
      <w:r>
        <w:rPr>
          <w:rFonts w:hint="eastAsia" w:ascii="宋体" w:hAnsi="宋体" w:eastAsia="宋体" w:cs="宋体"/>
          <w:szCs w:val="21"/>
        </w:rPr>
        <w:t>日期：</w:t>
      </w:r>
      <w:r>
        <w:rPr>
          <w:rFonts w:hint="eastAsia" w:ascii="宋体" w:hAnsi="宋体" w:eastAsia="宋体" w:cs="宋体"/>
          <w:szCs w:val="21"/>
          <w:lang w:val="en-US" w:eastAsia="zh-CN"/>
        </w:rPr>
        <w:t>202</w:t>
      </w:r>
      <w:r>
        <w:rPr>
          <w:rFonts w:hint="eastAsia" w:cs="宋体"/>
          <w:szCs w:val="21"/>
          <w:lang w:val="en-US" w:eastAsia="zh-CN"/>
        </w:rPr>
        <w:t>6</w:t>
      </w:r>
      <w:r>
        <w:rPr>
          <w:rFonts w:hint="eastAsia" w:ascii="宋体" w:hAnsi="宋体" w:eastAsia="宋体" w:cs="宋体"/>
          <w:szCs w:val="21"/>
          <w:lang w:val="en-US" w:eastAsia="zh-CN"/>
        </w:rPr>
        <w:t>年</w:t>
      </w:r>
      <w:r>
        <w:rPr>
          <w:rFonts w:hint="eastAsia" w:cs="宋体"/>
          <w:szCs w:val="21"/>
          <w:lang w:val="en-US" w:eastAsia="zh-CN"/>
        </w:rPr>
        <w:t>x</w:t>
      </w:r>
      <w:r>
        <w:rPr>
          <w:rFonts w:hint="eastAsia" w:ascii="宋体" w:hAnsi="宋体" w:eastAsia="宋体" w:cs="宋体"/>
          <w:szCs w:val="21"/>
          <w:lang w:val="en-US" w:eastAsia="zh-CN"/>
        </w:rPr>
        <w:t>月</w:t>
      </w:r>
      <w:r>
        <w:rPr>
          <w:rFonts w:hint="eastAsia" w:cs="宋体"/>
          <w:szCs w:val="21"/>
          <w:lang w:val="en-US" w:eastAsia="zh-CN"/>
        </w:rPr>
        <w:t xml:space="preserve">  </w:t>
      </w:r>
      <w:r>
        <w:rPr>
          <w:rFonts w:hint="eastAsia" w:ascii="宋体" w:hAnsi="宋体" w:eastAsia="宋体" w:cs="宋体"/>
          <w:szCs w:val="21"/>
          <w:lang w:val="en-US" w:eastAsia="zh-CN"/>
        </w:rPr>
        <w:t>日</w:t>
      </w:r>
    </w:p>
    <w:p w14:paraId="00A245BC">
      <w:pP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br w:type="page"/>
      </w:r>
    </w:p>
    <w:p w14:paraId="5AD8616B">
      <w:pPr>
        <w:pStyle w:val="3"/>
        <w:spacing w:line="579" w:lineRule="exact"/>
        <w:jc w:val="center"/>
        <w:rPr>
          <w:rFonts w:ascii="宋体" w:hAnsi="宋体" w:eastAsia="宋体" w:cs="宋体"/>
          <w:color w:val="auto"/>
          <w:sz w:val="32"/>
          <w:szCs w:val="32"/>
          <w:highlight w:val="none"/>
        </w:rPr>
      </w:pPr>
      <w:r>
        <w:rPr>
          <w:rFonts w:hint="eastAsia" w:ascii="宋体" w:hAnsi="宋体" w:eastAsia="宋体" w:cs="宋体"/>
          <w:bCs w:val="0"/>
          <w:color w:val="auto"/>
          <w:kern w:val="0"/>
          <w:sz w:val="44"/>
          <w:szCs w:val="44"/>
          <w:highlight w:val="none"/>
          <w:lang w:val="en-US" w:eastAsia="zh-CN"/>
        </w:rPr>
        <w:t>三、</w:t>
      </w:r>
      <w:r>
        <w:rPr>
          <w:rFonts w:hint="eastAsia" w:ascii="宋体" w:hAnsi="宋体" w:eastAsia="宋体" w:cs="宋体"/>
          <w:bCs w:val="0"/>
          <w:color w:val="auto"/>
          <w:kern w:val="0"/>
          <w:sz w:val="44"/>
          <w:szCs w:val="44"/>
          <w:highlight w:val="none"/>
        </w:rPr>
        <w:t>承诺函</w:t>
      </w:r>
    </w:p>
    <w:p w14:paraId="240681B8">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cs="宋体"/>
          <w:color w:val="auto"/>
          <w:sz w:val="24"/>
          <w:szCs w:val="24"/>
          <w:highlight w:val="none"/>
          <w:lang w:val="en-US" w:eastAsia="zh-CN"/>
        </w:rPr>
        <w:t>四川省健康促进基金会</w:t>
      </w:r>
      <w:r>
        <w:rPr>
          <w:rFonts w:hint="eastAsia" w:ascii="宋体" w:hAnsi="宋体" w:eastAsia="宋体" w:cs="宋体"/>
          <w:color w:val="auto"/>
          <w:sz w:val="24"/>
          <w:szCs w:val="24"/>
          <w:highlight w:val="none"/>
        </w:rPr>
        <w:t>：</w:t>
      </w:r>
    </w:p>
    <w:p w14:paraId="097C4B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（公司名称）</w:t>
      </w:r>
      <w:r>
        <w:rPr>
          <w:rFonts w:hint="eastAsia" w:ascii="宋体" w:hAnsi="宋体" w:eastAsia="宋体" w:cs="宋体"/>
          <w:color w:val="auto"/>
          <w:sz w:val="24"/>
          <w:szCs w:val="24"/>
          <w:highlight w:val="none"/>
          <w:u w:val="single"/>
        </w:rPr>
        <w:t>参</w:t>
      </w:r>
      <w:r>
        <w:rPr>
          <w:rFonts w:hint="eastAsia" w:cs="宋体"/>
          <w:color w:val="auto"/>
          <w:sz w:val="24"/>
          <w:szCs w:val="24"/>
          <w:highlight w:val="none"/>
          <w:u w:val="single"/>
          <w:lang w:val="en-US" w:eastAsia="zh-CN"/>
        </w:rPr>
        <w:t>XXXXXX</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的投标活动，现承诺：</w:t>
      </w:r>
    </w:p>
    <w:p w14:paraId="3DB72D66">
      <w:pPr>
        <w:keepNext w:val="0"/>
        <w:keepLines w:val="0"/>
        <w:pageBreakBefore w:val="0"/>
        <w:widowControl w:val="0"/>
        <w:numPr>
          <w:ilvl w:val="0"/>
          <w:numId w:val="5"/>
        </w:numPr>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我公司满足政府采购法第二十二条关于供应商的资格要求包括</w:t>
      </w:r>
      <w:r>
        <w:rPr>
          <w:rFonts w:hint="eastAsia" w:ascii="宋体" w:hAnsi="宋体" w:eastAsia="宋体" w:cs="宋体"/>
          <w:color w:val="auto"/>
          <w:sz w:val="24"/>
          <w:szCs w:val="24"/>
          <w:highlight w:val="none"/>
          <w:lang w:eastAsia="zh-CN"/>
        </w:rPr>
        <w:t>：</w:t>
      </w:r>
    </w:p>
    <w:p w14:paraId="6A09B83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具有独立承担民事责任的能力；</w:t>
      </w:r>
    </w:p>
    <w:p w14:paraId="7C81735D">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具有良好的商业信誉和健全的财务会计制度；</w:t>
      </w:r>
    </w:p>
    <w:p w14:paraId="4ED84964">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具有履行合同所必需的设备和专业技术能力；</w:t>
      </w:r>
    </w:p>
    <w:p w14:paraId="4D8A02D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在经营活动中没有重大违法记录；</w:t>
      </w:r>
    </w:p>
    <w:p w14:paraId="6FDF8A55">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满足法律、行政法规规定的其他条件，并完全满足相关产品授权及商务要求。</w:t>
      </w:r>
    </w:p>
    <w:p w14:paraId="5D79965E">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二、所递交的文件及证明材料相关内容均如实填写，并真实可靠，在项目审评过程中我方所提供的材料必须真实。</w:t>
      </w:r>
    </w:p>
    <w:p w14:paraId="235DFDD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三、若我公司经综合评审确定为供应商，承诺产品的供货价格不超过其他同类企业。</w:t>
      </w:r>
    </w:p>
    <w:p w14:paraId="40770B10">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四、一旦我方中选，保证按管理要求完成相关工作。</w:t>
      </w:r>
    </w:p>
    <w:p w14:paraId="03F731D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五、一旦我方中选，我方将按采购人要求签订合同。</w:t>
      </w:r>
    </w:p>
    <w:p w14:paraId="09BFC10A">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六、我方将严格按照相关法律法规的要求参与推广活动，积极配合贵公司营造风清气正的亲清营商环境。不以现金、红包、回扣、有价证券、贵重礼品等任何形式影响采购人采购行为。</w:t>
      </w:r>
    </w:p>
    <w:p w14:paraId="27FCE0E0">
      <w:pPr>
        <w:keepNext w:val="0"/>
        <w:keepLines w:val="0"/>
        <w:pageBreakBefore w:val="0"/>
        <w:widowControl w:val="0"/>
        <w:tabs>
          <w:tab w:val="left" w:pos="480"/>
        </w:tabs>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如违反以上承诺，本公司愿承担一切法律责任。</w:t>
      </w:r>
    </w:p>
    <w:p w14:paraId="0DFD8B27">
      <w:pPr>
        <w:keepNext w:val="0"/>
        <w:keepLines w:val="0"/>
        <w:pageBreakBefore w:val="0"/>
        <w:widowControl w:val="0"/>
        <w:kinsoku/>
        <w:wordWrap/>
        <w:overflowPunct/>
        <w:topLinePunct w:val="0"/>
        <w:autoSpaceDE/>
        <w:autoSpaceDN/>
        <w:bidi w:val="0"/>
        <w:adjustRightInd w:val="0"/>
        <w:snapToGrid/>
        <w:spacing w:before="312" w:beforeLines="100" w:line="360" w:lineRule="auto"/>
        <w:ind w:right="-494" w:rightChars="-247"/>
        <w:jc w:val="left"/>
        <w:textAlignment w:val="auto"/>
        <w:rPr>
          <w:rFonts w:ascii="宋体" w:hAnsi="宋体" w:eastAsia="宋体" w:cs="宋体"/>
          <w:b/>
          <w:color w:val="auto"/>
          <w:sz w:val="24"/>
          <w:szCs w:val="24"/>
          <w:highlight w:val="none"/>
        </w:rPr>
      </w:pPr>
    </w:p>
    <w:p w14:paraId="3433F2D7">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投标供应商</w:t>
      </w:r>
      <w:r>
        <w:rPr>
          <w:rFonts w:hint="eastAsia" w:ascii="宋体" w:hAnsi="宋体" w:eastAsia="宋体" w:cs="宋体"/>
          <w:color w:val="auto"/>
          <w:sz w:val="24"/>
          <w:szCs w:val="24"/>
          <w:highlight w:val="none"/>
        </w:rPr>
        <w:t>名称：        （盖章）</w:t>
      </w:r>
    </w:p>
    <w:p w14:paraId="57C4086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0AEEFC3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日期：</w:t>
      </w:r>
      <w:r>
        <w:rPr>
          <w:rFonts w:hint="eastAsia" w:cs="宋体"/>
          <w:color w:val="auto"/>
          <w:sz w:val="24"/>
          <w:szCs w:val="24"/>
          <w:highlight w:val="none"/>
          <w:lang w:val="en-US" w:eastAsia="zh-CN"/>
        </w:rPr>
        <w:t>2026年3月   日</w:t>
      </w:r>
    </w:p>
    <w:p w14:paraId="4A3ACEEE">
      <w:pPr>
        <w:rPr>
          <w:rFonts w:hint="eastAsia" w:ascii="宋体" w:hAnsi="宋体" w:eastAsia="宋体" w:cs="宋体"/>
          <w:bCs w:val="0"/>
          <w:color w:val="auto"/>
          <w:kern w:val="0"/>
          <w:sz w:val="44"/>
          <w:szCs w:val="44"/>
          <w:highlight w:val="none"/>
        </w:rPr>
      </w:pPr>
    </w:p>
    <w:p w14:paraId="6C8A18BC">
      <w:pPr>
        <w:pStyle w:val="3"/>
        <w:spacing w:before="0" w:after="0" w:line="579" w:lineRule="exact"/>
        <w:jc w:val="center"/>
        <w:rPr>
          <w:rFonts w:ascii="华文仿宋" w:hAnsi="华文仿宋" w:eastAsia="华文仿宋" w:cs="华文仿宋"/>
          <w:color w:val="auto"/>
          <w:highlight w:val="none"/>
        </w:rPr>
      </w:pPr>
      <w:r>
        <w:rPr>
          <w:rFonts w:hint="eastAsia" w:ascii="宋体" w:hAnsi="宋体" w:eastAsia="宋体" w:cs="宋体"/>
          <w:bCs w:val="0"/>
          <w:color w:val="auto"/>
          <w:kern w:val="0"/>
          <w:sz w:val="44"/>
          <w:szCs w:val="44"/>
          <w:highlight w:val="none"/>
          <w:lang w:val="en-US" w:eastAsia="zh-CN"/>
        </w:rPr>
        <w:t>四、</w:t>
      </w:r>
      <w:r>
        <w:rPr>
          <w:rFonts w:hint="eastAsia" w:ascii="宋体" w:hAnsi="宋体" w:eastAsia="宋体" w:cs="宋体"/>
          <w:bCs w:val="0"/>
          <w:color w:val="auto"/>
          <w:kern w:val="0"/>
          <w:sz w:val="44"/>
          <w:szCs w:val="44"/>
          <w:highlight w:val="none"/>
        </w:rPr>
        <w:t>投标报价表</w:t>
      </w:r>
    </w:p>
    <w:p w14:paraId="401D0016">
      <w:pPr>
        <w:spacing w:before="320" w:beforeLines="100" w:line="400" w:lineRule="exact"/>
        <w:ind w:left="0" w:firstLine="0" w:firstLineChars="0"/>
        <w:jc w:val="center"/>
        <w:rPr>
          <w:rFonts w:hint="default" w:asciiTheme="minorEastAsia" w:hAnsiTheme="minorEastAsia" w:eastAsiaTheme="minorEastAsia" w:cstheme="minorEastAsia"/>
          <w:b/>
          <w:bCs/>
          <w:color w:val="auto"/>
          <w:spacing w:val="-8"/>
          <w:sz w:val="29"/>
          <w:szCs w:val="29"/>
          <w:highlight w:val="none"/>
          <w:lang w:val="en-US" w:eastAsia="zh-CN"/>
        </w:rPr>
      </w:pPr>
      <w:r>
        <w:rPr>
          <w:rFonts w:hint="eastAsia" w:asciiTheme="minorEastAsia" w:hAnsiTheme="minorEastAsia" w:eastAsiaTheme="minorEastAsia" w:cstheme="minorEastAsia"/>
          <w:b/>
          <w:bCs/>
          <w:color w:val="auto"/>
          <w:spacing w:val="-8"/>
          <w:sz w:val="29"/>
          <w:szCs w:val="29"/>
          <w:highlight w:val="none"/>
          <w:lang w:val="en-US" w:eastAsia="zh-CN"/>
        </w:rPr>
        <w:t>以下报价均为不含税价</w:t>
      </w:r>
    </w:p>
    <w:p w14:paraId="5CBC7D77">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【报价说明】</w:t>
      </w:r>
    </w:p>
    <w:p w14:paraId="6B4126B3">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1.线上或线下会议；</w:t>
      </w:r>
    </w:p>
    <w:p w14:paraId="72AAC1C8">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2.此轮报价无需报酒店会议室、住宿、餐饮、交通费用，以上费用均按采购方财务管理制度执行。</w:t>
      </w:r>
    </w:p>
    <w:tbl>
      <w:tblPr>
        <w:tblStyle w:val="9"/>
        <w:tblW w:w="82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3"/>
        <w:gridCol w:w="4090"/>
        <w:gridCol w:w="866"/>
        <w:gridCol w:w="600"/>
        <w:gridCol w:w="704"/>
        <w:gridCol w:w="1355"/>
      </w:tblGrid>
      <w:tr w14:paraId="4D8BE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623" w:type="dxa"/>
            <w:tcBorders>
              <w:top w:val="single" w:color="000000" w:sz="4" w:space="0"/>
              <w:left w:val="single" w:color="000000" w:sz="4" w:space="0"/>
              <w:bottom w:val="single" w:color="000000" w:sz="4" w:space="0"/>
              <w:right w:val="single" w:color="000000" w:sz="4" w:space="0"/>
            </w:tcBorders>
            <w:shd w:val="clear" w:color="auto" w:fill="333F4F"/>
            <w:noWrap/>
            <w:vAlign w:val="center"/>
          </w:tcPr>
          <w:p w14:paraId="3896D082">
            <w:pPr>
              <w:keepNext w:val="0"/>
              <w:keepLines w:val="0"/>
              <w:widowControl/>
              <w:suppressLineNumbers w:val="0"/>
              <w:jc w:val="center"/>
              <w:textAlignment w:val="center"/>
              <w:rPr>
                <w:rFonts w:ascii="微软雅黑" w:hAnsi="微软雅黑" w:eastAsia="微软雅黑" w:cs="微软雅黑"/>
                <w:b/>
                <w:bCs/>
                <w:i w:val="0"/>
                <w:iCs w:val="0"/>
                <w:color w:val="FFFFFF"/>
                <w:sz w:val="16"/>
                <w:szCs w:val="16"/>
                <w:u w:val="none"/>
              </w:rPr>
            </w:pPr>
            <w:r>
              <w:rPr>
                <w:rFonts w:hint="eastAsia" w:ascii="微软雅黑" w:hAnsi="微软雅黑" w:eastAsia="微软雅黑" w:cs="微软雅黑"/>
                <w:b/>
                <w:bCs/>
                <w:i w:val="0"/>
                <w:iCs w:val="0"/>
                <w:color w:val="FFFFFF"/>
                <w:kern w:val="0"/>
                <w:sz w:val="16"/>
                <w:szCs w:val="16"/>
                <w:u w:val="none"/>
                <w:lang w:val="en-US" w:eastAsia="zh-CN" w:bidi="ar"/>
              </w:rPr>
              <w:t>项目名称</w:t>
            </w:r>
          </w:p>
        </w:tc>
        <w:tc>
          <w:tcPr>
            <w:tcW w:w="4090" w:type="dxa"/>
            <w:tcBorders>
              <w:top w:val="single" w:color="000000" w:sz="4" w:space="0"/>
              <w:left w:val="single" w:color="000000" w:sz="4" w:space="0"/>
              <w:bottom w:val="single" w:color="000000" w:sz="4" w:space="0"/>
              <w:right w:val="single" w:color="000000" w:sz="4" w:space="0"/>
            </w:tcBorders>
            <w:shd w:val="clear" w:color="auto" w:fill="333F4F"/>
            <w:noWrap/>
            <w:vAlign w:val="center"/>
          </w:tcPr>
          <w:p w14:paraId="6B5C6682">
            <w:pPr>
              <w:keepNext w:val="0"/>
              <w:keepLines w:val="0"/>
              <w:widowControl/>
              <w:suppressLineNumbers w:val="0"/>
              <w:jc w:val="center"/>
              <w:textAlignment w:val="center"/>
              <w:rPr>
                <w:rFonts w:hint="eastAsia" w:ascii="微软雅黑" w:hAnsi="微软雅黑" w:eastAsia="微软雅黑" w:cs="微软雅黑"/>
                <w:b/>
                <w:bCs/>
                <w:i w:val="0"/>
                <w:iCs w:val="0"/>
                <w:color w:val="FFFFFF"/>
                <w:sz w:val="16"/>
                <w:szCs w:val="16"/>
                <w:u w:val="none"/>
              </w:rPr>
            </w:pPr>
            <w:r>
              <w:rPr>
                <w:rFonts w:hint="eastAsia" w:ascii="微软雅黑" w:hAnsi="微软雅黑" w:eastAsia="微软雅黑" w:cs="微软雅黑"/>
                <w:b/>
                <w:bCs/>
                <w:i w:val="0"/>
                <w:iCs w:val="0"/>
                <w:color w:val="FFFFFF"/>
                <w:kern w:val="0"/>
                <w:sz w:val="16"/>
                <w:szCs w:val="16"/>
                <w:u w:val="none"/>
                <w:lang w:val="en-US" w:eastAsia="zh-CN" w:bidi="ar"/>
              </w:rPr>
              <w:t>项目描述</w:t>
            </w:r>
          </w:p>
        </w:tc>
        <w:tc>
          <w:tcPr>
            <w:tcW w:w="866" w:type="dxa"/>
            <w:tcBorders>
              <w:top w:val="single" w:color="000000" w:sz="4" w:space="0"/>
              <w:left w:val="single" w:color="000000" w:sz="4" w:space="0"/>
              <w:bottom w:val="single" w:color="000000" w:sz="4" w:space="0"/>
              <w:right w:val="single" w:color="000000" w:sz="4" w:space="0"/>
            </w:tcBorders>
            <w:shd w:val="clear" w:color="auto" w:fill="333F4F"/>
            <w:noWrap/>
            <w:vAlign w:val="center"/>
          </w:tcPr>
          <w:p w14:paraId="65DF533A">
            <w:pPr>
              <w:keepNext w:val="0"/>
              <w:keepLines w:val="0"/>
              <w:widowControl/>
              <w:suppressLineNumbers w:val="0"/>
              <w:jc w:val="center"/>
              <w:textAlignment w:val="center"/>
              <w:rPr>
                <w:rFonts w:hint="eastAsia" w:ascii="微软雅黑" w:hAnsi="微软雅黑" w:eastAsia="微软雅黑" w:cs="微软雅黑"/>
                <w:b/>
                <w:bCs/>
                <w:i w:val="0"/>
                <w:iCs w:val="0"/>
                <w:color w:val="FFFFFF"/>
                <w:sz w:val="16"/>
                <w:szCs w:val="16"/>
                <w:u w:val="none"/>
              </w:rPr>
            </w:pPr>
            <w:r>
              <w:rPr>
                <w:rFonts w:hint="eastAsia" w:ascii="微软雅黑" w:hAnsi="微软雅黑" w:eastAsia="微软雅黑" w:cs="微软雅黑"/>
                <w:b/>
                <w:bCs/>
                <w:i w:val="0"/>
                <w:iCs w:val="0"/>
                <w:color w:val="FFFFFF"/>
                <w:kern w:val="0"/>
                <w:sz w:val="16"/>
                <w:szCs w:val="16"/>
                <w:u w:val="none"/>
                <w:lang w:val="en-US" w:eastAsia="zh-CN" w:bidi="ar"/>
              </w:rPr>
              <w:t>单位</w:t>
            </w:r>
          </w:p>
        </w:tc>
        <w:tc>
          <w:tcPr>
            <w:tcW w:w="600" w:type="dxa"/>
            <w:tcBorders>
              <w:top w:val="single" w:color="000000" w:sz="4" w:space="0"/>
              <w:left w:val="single" w:color="000000" w:sz="4" w:space="0"/>
              <w:bottom w:val="single" w:color="000000" w:sz="4" w:space="0"/>
              <w:right w:val="single" w:color="000000" w:sz="4" w:space="0"/>
            </w:tcBorders>
            <w:shd w:val="clear" w:color="auto" w:fill="333F4F"/>
            <w:noWrap/>
            <w:vAlign w:val="center"/>
          </w:tcPr>
          <w:p w14:paraId="126530EB">
            <w:pPr>
              <w:keepNext w:val="0"/>
              <w:keepLines w:val="0"/>
              <w:widowControl/>
              <w:suppressLineNumbers w:val="0"/>
              <w:jc w:val="center"/>
              <w:textAlignment w:val="center"/>
              <w:rPr>
                <w:rFonts w:hint="eastAsia" w:ascii="微软雅黑" w:hAnsi="微软雅黑" w:eastAsia="微软雅黑" w:cs="微软雅黑"/>
                <w:b/>
                <w:bCs/>
                <w:i w:val="0"/>
                <w:iCs w:val="0"/>
                <w:color w:val="FFFFFF"/>
                <w:sz w:val="16"/>
                <w:szCs w:val="16"/>
                <w:u w:val="none"/>
              </w:rPr>
            </w:pPr>
            <w:r>
              <w:rPr>
                <w:rFonts w:hint="eastAsia" w:ascii="微软雅黑" w:hAnsi="微软雅黑" w:eastAsia="微软雅黑" w:cs="微软雅黑"/>
                <w:b/>
                <w:bCs/>
                <w:i w:val="0"/>
                <w:iCs w:val="0"/>
                <w:color w:val="FFFFFF"/>
                <w:kern w:val="0"/>
                <w:sz w:val="16"/>
                <w:szCs w:val="16"/>
                <w:u w:val="none"/>
                <w:lang w:val="en-US" w:eastAsia="zh-CN" w:bidi="ar"/>
              </w:rPr>
              <w:t>数量</w:t>
            </w:r>
          </w:p>
        </w:tc>
        <w:tc>
          <w:tcPr>
            <w:tcW w:w="704" w:type="dxa"/>
            <w:tcBorders>
              <w:top w:val="single" w:color="000000" w:sz="4" w:space="0"/>
              <w:left w:val="single" w:color="000000" w:sz="4" w:space="0"/>
              <w:bottom w:val="single" w:color="000000" w:sz="4" w:space="0"/>
              <w:right w:val="single" w:color="000000" w:sz="4" w:space="0"/>
            </w:tcBorders>
            <w:shd w:val="clear" w:color="auto" w:fill="333F4F"/>
            <w:noWrap/>
            <w:vAlign w:val="center"/>
          </w:tcPr>
          <w:p w14:paraId="3D979DDF">
            <w:pPr>
              <w:keepNext w:val="0"/>
              <w:keepLines w:val="0"/>
              <w:widowControl/>
              <w:suppressLineNumbers w:val="0"/>
              <w:jc w:val="center"/>
              <w:textAlignment w:val="center"/>
              <w:rPr>
                <w:rFonts w:hint="eastAsia" w:ascii="微软雅黑" w:hAnsi="微软雅黑" w:eastAsia="微软雅黑" w:cs="微软雅黑"/>
                <w:b/>
                <w:bCs/>
                <w:i w:val="0"/>
                <w:iCs w:val="0"/>
                <w:color w:val="FFFFFF"/>
                <w:sz w:val="16"/>
                <w:szCs w:val="16"/>
                <w:u w:val="none"/>
              </w:rPr>
            </w:pPr>
            <w:r>
              <w:rPr>
                <w:rFonts w:hint="eastAsia" w:ascii="微软雅黑" w:hAnsi="微软雅黑" w:eastAsia="微软雅黑" w:cs="微软雅黑"/>
                <w:b/>
                <w:bCs/>
                <w:i w:val="0"/>
                <w:iCs w:val="0"/>
                <w:color w:val="FFFFFF"/>
                <w:kern w:val="0"/>
                <w:sz w:val="16"/>
                <w:szCs w:val="16"/>
                <w:u w:val="none"/>
                <w:lang w:val="en-US" w:eastAsia="zh-CN" w:bidi="ar"/>
              </w:rPr>
              <w:t>天数</w:t>
            </w:r>
          </w:p>
        </w:tc>
        <w:tc>
          <w:tcPr>
            <w:tcW w:w="1355" w:type="dxa"/>
            <w:tcBorders>
              <w:top w:val="single" w:color="000000" w:sz="4" w:space="0"/>
              <w:left w:val="single" w:color="000000" w:sz="4" w:space="0"/>
              <w:bottom w:val="single" w:color="000000" w:sz="4" w:space="0"/>
              <w:right w:val="single" w:color="000000" w:sz="4" w:space="0"/>
            </w:tcBorders>
            <w:shd w:val="clear" w:color="auto" w:fill="333F4F"/>
            <w:noWrap/>
            <w:vAlign w:val="center"/>
          </w:tcPr>
          <w:p w14:paraId="723AEA8F">
            <w:pPr>
              <w:keepNext w:val="0"/>
              <w:keepLines w:val="0"/>
              <w:widowControl/>
              <w:suppressLineNumbers w:val="0"/>
              <w:jc w:val="center"/>
              <w:textAlignment w:val="center"/>
              <w:rPr>
                <w:rFonts w:hint="eastAsia" w:ascii="微软雅黑" w:hAnsi="微软雅黑" w:eastAsia="微软雅黑" w:cs="微软雅黑"/>
                <w:b/>
                <w:bCs/>
                <w:i w:val="0"/>
                <w:iCs w:val="0"/>
                <w:color w:val="FFFFFF"/>
                <w:sz w:val="16"/>
                <w:szCs w:val="16"/>
                <w:u w:val="none"/>
              </w:rPr>
            </w:pPr>
            <w:r>
              <w:rPr>
                <w:rFonts w:hint="eastAsia" w:ascii="微软雅黑" w:hAnsi="微软雅黑" w:eastAsia="微软雅黑" w:cs="微软雅黑"/>
                <w:b/>
                <w:bCs/>
                <w:i w:val="0"/>
                <w:iCs w:val="0"/>
                <w:color w:val="FFFFFF"/>
                <w:kern w:val="0"/>
                <w:sz w:val="16"/>
                <w:szCs w:val="16"/>
                <w:u w:val="none"/>
                <w:lang w:val="en-US" w:eastAsia="zh-CN" w:bidi="ar"/>
              </w:rPr>
              <w:t>单价</w:t>
            </w:r>
          </w:p>
        </w:tc>
      </w:tr>
      <w:tr w14:paraId="4786C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6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1F95E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创意设计</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F5F9B">
            <w:pPr>
              <w:keepNext w:val="0"/>
              <w:keepLines w:val="0"/>
              <w:widowControl/>
              <w:suppressLineNumbers w:val="0"/>
              <w:jc w:val="both"/>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主K设计</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FAC8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EC96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A617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8C52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66B7B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6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84B69">
            <w:pPr>
              <w:jc w:val="center"/>
              <w:rPr>
                <w:rFonts w:hint="eastAsia" w:ascii="微软雅黑" w:hAnsi="微软雅黑" w:eastAsia="微软雅黑" w:cs="微软雅黑"/>
                <w:i w:val="0"/>
                <w:iCs w:val="0"/>
                <w:color w:val="000000"/>
                <w:sz w:val="16"/>
                <w:szCs w:val="16"/>
                <w:u w:val="none"/>
              </w:rPr>
            </w:pP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52675">
            <w:pPr>
              <w:keepNext w:val="0"/>
              <w:keepLines w:val="0"/>
              <w:widowControl/>
              <w:suppressLineNumbers w:val="0"/>
              <w:jc w:val="both"/>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A4日程、长图海报设计</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ADD1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BE09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2B55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FF5A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05718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6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D2A1B">
            <w:pPr>
              <w:jc w:val="center"/>
              <w:rPr>
                <w:rFonts w:hint="eastAsia" w:ascii="微软雅黑" w:hAnsi="微软雅黑" w:eastAsia="微软雅黑" w:cs="微软雅黑"/>
                <w:i w:val="0"/>
                <w:iCs w:val="0"/>
                <w:color w:val="000000"/>
                <w:sz w:val="16"/>
                <w:szCs w:val="16"/>
                <w:u w:val="none"/>
              </w:rPr>
            </w:pP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A33AB">
            <w:pPr>
              <w:keepNext w:val="0"/>
              <w:keepLines w:val="0"/>
              <w:widowControl/>
              <w:suppressLineNumbers w:val="0"/>
              <w:jc w:val="both"/>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串场幻灯设计</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6FB9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B5E1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929E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510D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3580F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6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1BED3">
            <w:pPr>
              <w:jc w:val="center"/>
              <w:rPr>
                <w:rFonts w:hint="eastAsia" w:ascii="微软雅黑" w:hAnsi="微软雅黑" w:eastAsia="微软雅黑" w:cs="微软雅黑"/>
                <w:i w:val="0"/>
                <w:iCs w:val="0"/>
                <w:color w:val="000000"/>
                <w:sz w:val="16"/>
                <w:szCs w:val="16"/>
                <w:u w:val="none"/>
              </w:rPr>
            </w:pP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65F40">
            <w:pPr>
              <w:keepNext w:val="0"/>
              <w:keepLines w:val="0"/>
              <w:widowControl/>
              <w:suppressLineNumbers w:val="0"/>
              <w:jc w:val="both"/>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衍生物设计（常规物料）</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210F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D7EA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4804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8460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2BD2D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6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83B31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物料制作</w:t>
            </w:r>
          </w:p>
        </w:tc>
        <w:tc>
          <w:tcPr>
            <w:tcW w:w="40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37908">
            <w:pPr>
              <w:keepNext w:val="0"/>
              <w:keepLines w:val="0"/>
              <w:widowControl/>
              <w:suppressLineNumbers w:val="0"/>
              <w:jc w:val="both"/>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展架（日程+签到处、产品展示展架）</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2CED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套</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0AFD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7</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A93D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D2F1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04BF1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6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6210A">
            <w:pPr>
              <w:jc w:val="center"/>
              <w:rPr>
                <w:rFonts w:hint="eastAsia" w:ascii="微软雅黑" w:hAnsi="微软雅黑" w:eastAsia="微软雅黑" w:cs="微软雅黑"/>
                <w:i w:val="0"/>
                <w:iCs w:val="0"/>
                <w:color w:val="000000"/>
                <w:sz w:val="16"/>
                <w:szCs w:val="16"/>
                <w:u w:val="none"/>
              </w:rPr>
            </w:pPr>
          </w:p>
        </w:tc>
        <w:tc>
          <w:tcPr>
            <w:tcW w:w="40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1EC15">
            <w:pPr>
              <w:keepNext w:val="0"/>
              <w:keepLines w:val="0"/>
              <w:widowControl/>
              <w:suppressLineNumbers w:val="0"/>
              <w:jc w:val="both"/>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桌卡</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F783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张</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320C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30</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D667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79EE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5A723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6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13EC6">
            <w:pPr>
              <w:jc w:val="center"/>
              <w:rPr>
                <w:rFonts w:hint="eastAsia" w:ascii="微软雅黑" w:hAnsi="微软雅黑" w:eastAsia="微软雅黑" w:cs="微软雅黑"/>
                <w:i w:val="0"/>
                <w:iCs w:val="0"/>
                <w:color w:val="000000"/>
                <w:sz w:val="16"/>
                <w:szCs w:val="16"/>
                <w:u w:val="none"/>
              </w:rPr>
            </w:pPr>
          </w:p>
        </w:tc>
        <w:tc>
          <w:tcPr>
            <w:tcW w:w="40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BA63B">
            <w:pPr>
              <w:keepNext w:val="0"/>
              <w:keepLines w:val="0"/>
              <w:widowControl/>
              <w:suppressLineNumbers w:val="0"/>
              <w:jc w:val="both"/>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A4日程铜版纸打印</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09DB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张</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87FA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60</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B5B8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0F84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7F0A3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6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DD288">
            <w:pPr>
              <w:jc w:val="center"/>
              <w:rPr>
                <w:rFonts w:hint="eastAsia" w:ascii="微软雅黑" w:hAnsi="微软雅黑" w:eastAsia="微软雅黑" w:cs="微软雅黑"/>
                <w:i w:val="0"/>
                <w:iCs w:val="0"/>
                <w:color w:val="000000"/>
                <w:sz w:val="16"/>
                <w:szCs w:val="16"/>
                <w:u w:val="none"/>
              </w:rPr>
            </w:pPr>
          </w:p>
        </w:tc>
        <w:tc>
          <w:tcPr>
            <w:tcW w:w="40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F5A8E">
            <w:pPr>
              <w:keepNext w:val="0"/>
              <w:keepLines w:val="0"/>
              <w:widowControl/>
              <w:suppressLineNumbers w:val="0"/>
              <w:jc w:val="both"/>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串场、签到表等资料打印</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0339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份</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C812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474B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B5E4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1E81D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6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66D25">
            <w:pPr>
              <w:jc w:val="center"/>
              <w:rPr>
                <w:rFonts w:hint="eastAsia" w:ascii="微软雅黑" w:hAnsi="微软雅黑" w:eastAsia="微软雅黑" w:cs="微软雅黑"/>
                <w:i w:val="0"/>
                <w:iCs w:val="0"/>
                <w:color w:val="000000"/>
                <w:sz w:val="16"/>
                <w:szCs w:val="16"/>
                <w:u w:val="none"/>
              </w:rPr>
            </w:pPr>
          </w:p>
        </w:tc>
        <w:tc>
          <w:tcPr>
            <w:tcW w:w="40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27E73">
            <w:pPr>
              <w:keepNext w:val="0"/>
              <w:keepLines w:val="0"/>
              <w:widowControl/>
              <w:suppressLineNumbers w:val="0"/>
              <w:jc w:val="both"/>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讲台三面包装</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6EE2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套</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ECB9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38DC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E6C7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25595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6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922AC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设备租赁</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9B804">
            <w:pPr>
              <w:keepNext w:val="0"/>
              <w:keepLines w:val="0"/>
              <w:widowControl/>
              <w:suppressLineNumbers w:val="0"/>
              <w:jc w:val="both"/>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控台LED控台，迈普视通550H</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99AC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台/天</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84A9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F45F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AF0D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702D7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6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BDA82">
            <w:pPr>
              <w:jc w:val="center"/>
              <w:rPr>
                <w:rFonts w:hint="eastAsia" w:ascii="微软雅黑" w:hAnsi="微软雅黑" w:eastAsia="微软雅黑" w:cs="微软雅黑"/>
                <w:i w:val="0"/>
                <w:iCs w:val="0"/>
                <w:color w:val="000000"/>
                <w:sz w:val="16"/>
                <w:szCs w:val="16"/>
                <w:u w:val="none"/>
              </w:rPr>
            </w:pP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20C25">
            <w:pPr>
              <w:keepNext w:val="0"/>
              <w:keepLines w:val="0"/>
              <w:widowControl/>
              <w:suppressLineNumbers w:val="0"/>
              <w:jc w:val="both"/>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视频处理器V3，服务器：Hirender S2</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F019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套</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B37C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02DB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7E0F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5F7E8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6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71981">
            <w:pPr>
              <w:jc w:val="center"/>
              <w:rPr>
                <w:rFonts w:hint="eastAsia" w:ascii="微软雅黑" w:hAnsi="微软雅黑" w:eastAsia="微软雅黑" w:cs="微软雅黑"/>
                <w:i w:val="0"/>
                <w:iCs w:val="0"/>
                <w:color w:val="000000"/>
                <w:sz w:val="16"/>
                <w:szCs w:val="16"/>
                <w:u w:val="none"/>
              </w:rPr>
            </w:pPr>
          </w:p>
        </w:tc>
        <w:tc>
          <w:tcPr>
            <w:tcW w:w="4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06310">
            <w:pPr>
              <w:keepNext w:val="0"/>
              <w:keepLines w:val="0"/>
              <w:widowControl/>
              <w:suppressLineNumbers w:val="0"/>
              <w:jc w:val="both"/>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会场专用笔记本电脑</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D090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台/天</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0F23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10FD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97E7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7FAE2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6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061EF">
            <w:pPr>
              <w:jc w:val="center"/>
              <w:rPr>
                <w:rFonts w:hint="eastAsia" w:ascii="微软雅黑" w:hAnsi="微软雅黑" w:eastAsia="微软雅黑" w:cs="微软雅黑"/>
                <w:i w:val="0"/>
                <w:iCs w:val="0"/>
                <w:color w:val="000000"/>
                <w:sz w:val="16"/>
                <w:szCs w:val="16"/>
                <w:u w:val="none"/>
              </w:rPr>
            </w:pP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6C1D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幻灯片传输系统+软硬件设别，实现讲台-控台两点互联</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1AF7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A61B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90AC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C994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776CF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623" w:type="dxa"/>
            <w:vMerge w:val="restart"/>
            <w:tcBorders>
              <w:top w:val="nil"/>
              <w:left w:val="single" w:color="000000" w:sz="4" w:space="0"/>
              <w:bottom w:val="single" w:color="000000" w:sz="4" w:space="0"/>
              <w:right w:val="single" w:color="000000" w:sz="4" w:space="0"/>
            </w:tcBorders>
            <w:shd w:val="clear" w:color="auto" w:fill="auto"/>
            <w:vAlign w:val="center"/>
          </w:tcPr>
          <w:p w14:paraId="5B0E583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直播部分</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9806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会场网络架构建设，华为5G网络盒子</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F2B5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场</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03EA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38A1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6C3A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080F4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623" w:type="dxa"/>
            <w:vMerge w:val="continue"/>
            <w:tcBorders>
              <w:top w:val="nil"/>
              <w:left w:val="single" w:color="000000" w:sz="4" w:space="0"/>
              <w:bottom w:val="single" w:color="000000" w:sz="4" w:space="0"/>
              <w:right w:val="single" w:color="000000" w:sz="4" w:space="0"/>
            </w:tcBorders>
            <w:shd w:val="clear" w:color="auto" w:fill="auto"/>
            <w:vAlign w:val="center"/>
          </w:tcPr>
          <w:p w14:paraId="1BAF5E11">
            <w:pPr>
              <w:jc w:val="center"/>
              <w:rPr>
                <w:rFonts w:hint="eastAsia" w:ascii="微软雅黑" w:hAnsi="微软雅黑" w:eastAsia="微软雅黑" w:cs="微软雅黑"/>
                <w:i w:val="0"/>
                <w:iCs w:val="0"/>
                <w:color w:val="000000"/>
                <w:sz w:val="16"/>
                <w:szCs w:val="16"/>
                <w:u w:val="none"/>
              </w:rPr>
            </w:pP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3403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视频连线服务，嘉宾电脑、手机进行音视频采集；工作人员进行远程协助，调试</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EB4F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DD88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3D0D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1A30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49293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623" w:type="dxa"/>
            <w:vMerge w:val="continue"/>
            <w:tcBorders>
              <w:top w:val="nil"/>
              <w:left w:val="single" w:color="000000" w:sz="4" w:space="0"/>
              <w:bottom w:val="single" w:color="000000" w:sz="4" w:space="0"/>
              <w:right w:val="single" w:color="000000" w:sz="4" w:space="0"/>
            </w:tcBorders>
            <w:shd w:val="clear" w:color="auto" w:fill="auto"/>
            <w:vAlign w:val="center"/>
          </w:tcPr>
          <w:p w14:paraId="224F73CD">
            <w:pPr>
              <w:jc w:val="center"/>
              <w:rPr>
                <w:rFonts w:hint="eastAsia" w:ascii="微软雅黑" w:hAnsi="微软雅黑" w:eastAsia="微软雅黑" w:cs="微软雅黑"/>
                <w:i w:val="0"/>
                <w:iCs w:val="0"/>
                <w:color w:val="000000"/>
                <w:sz w:val="16"/>
                <w:szCs w:val="16"/>
                <w:u w:val="none"/>
              </w:rPr>
            </w:pPr>
          </w:p>
        </w:tc>
        <w:tc>
          <w:tcPr>
            <w:tcW w:w="4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3D9D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后台音频集成系统：音控处理服务，解析音频到唯一端口</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0D68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96DF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D87C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2E9D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0BAB4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623" w:type="dxa"/>
            <w:vMerge w:val="continue"/>
            <w:tcBorders>
              <w:top w:val="nil"/>
              <w:left w:val="single" w:color="000000" w:sz="4" w:space="0"/>
              <w:bottom w:val="single" w:color="000000" w:sz="4" w:space="0"/>
              <w:right w:val="single" w:color="000000" w:sz="4" w:space="0"/>
            </w:tcBorders>
            <w:shd w:val="clear" w:color="auto" w:fill="auto"/>
            <w:vAlign w:val="center"/>
          </w:tcPr>
          <w:p w14:paraId="2EF67B03">
            <w:pPr>
              <w:jc w:val="center"/>
              <w:rPr>
                <w:rFonts w:hint="eastAsia" w:ascii="微软雅黑" w:hAnsi="微软雅黑" w:eastAsia="微软雅黑" w:cs="微软雅黑"/>
                <w:i w:val="0"/>
                <w:iCs w:val="0"/>
                <w:color w:val="000000"/>
                <w:sz w:val="16"/>
                <w:szCs w:val="16"/>
                <w:u w:val="none"/>
              </w:rPr>
            </w:pPr>
          </w:p>
        </w:tc>
        <w:tc>
          <w:tcPr>
            <w:tcW w:w="4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A635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视频会议系统软件租赁使用费用（支持25方，PPT屏幕共享，联席主持，多人同框）</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6330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410B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622E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772D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17A33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623" w:type="dxa"/>
            <w:vMerge w:val="continue"/>
            <w:tcBorders>
              <w:top w:val="nil"/>
              <w:left w:val="single" w:color="000000" w:sz="4" w:space="0"/>
              <w:bottom w:val="single" w:color="000000" w:sz="4" w:space="0"/>
              <w:right w:val="single" w:color="000000" w:sz="4" w:space="0"/>
            </w:tcBorders>
            <w:shd w:val="clear" w:color="auto" w:fill="auto"/>
            <w:vAlign w:val="center"/>
          </w:tcPr>
          <w:p w14:paraId="55476F94">
            <w:pPr>
              <w:jc w:val="center"/>
              <w:rPr>
                <w:rFonts w:hint="eastAsia" w:ascii="微软雅黑" w:hAnsi="微软雅黑" w:eastAsia="微软雅黑" w:cs="微软雅黑"/>
                <w:i w:val="0"/>
                <w:iCs w:val="0"/>
                <w:color w:val="000000"/>
                <w:sz w:val="16"/>
                <w:szCs w:val="16"/>
                <w:u w:val="none"/>
              </w:rPr>
            </w:pP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D465D">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视频回放管理</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51D7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F038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1370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9CC4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65B53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CF3F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运输</w:t>
            </w:r>
          </w:p>
        </w:tc>
        <w:tc>
          <w:tcPr>
            <w:tcW w:w="40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BD58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成都市外物料、设备运输</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AF8B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趟</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9C1F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0174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4005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2E233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623" w:type="dxa"/>
            <w:vMerge w:val="restart"/>
            <w:tcBorders>
              <w:top w:val="nil"/>
              <w:left w:val="single" w:color="000000" w:sz="4" w:space="0"/>
              <w:bottom w:val="nil"/>
              <w:right w:val="single" w:color="000000" w:sz="4" w:space="0"/>
            </w:tcBorders>
            <w:shd w:val="clear" w:color="auto" w:fill="auto"/>
            <w:vAlign w:val="center"/>
          </w:tcPr>
          <w:p w14:paraId="2AC8836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人员服务</w:t>
            </w:r>
          </w:p>
        </w:tc>
        <w:tc>
          <w:tcPr>
            <w:tcW w:w="4090" w:type="dxa"/>
            <w:tcBorders>
              <w:top w:val="single" w:color="000000" w:sz="4" w:space="0"/>
              <w:left w:val="single" w:color="000000" w:sz="4" w:space="0"/>
              <w:bottom w:val="nil"/>
              <w:right w:val="single" w:color="000000" w:sz="4" w:space="0"/>
            </w:tcBorders>
            <w:shd w:val="clear" w:color="auto" w:fill="FFFFFF"/>
            <w:vAlign w:val="center"/>
          </w:tcPr>
          <w:p w14:paraId="77D7B95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项目经理，主场控</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81EE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人/会</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0FFE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C10C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AE0E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6A989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623" w:type="dxa"/>
            <w:vMerge w:val="continue"/>
            <w:tcBorders>
              <w:top w:val="nil"/>
              <w:left w:val="single" w:color="000000" w:sz="4" w:space="0"/>
              <w:bottom w:val="nil"/>
              <w:right w:val="single" w:color="000000" w:sz="4" w:space="0"/>
            </w:tcBorders>
            <w:shd w:val="clear" w:color="auto" w:fill="auto"/>
            <w:vAlign w:val="center"/>
          </w:tcPr>
          <w:p w14:paraId="635DAE97">
            <w:pPr>
              <w:jc w:val="center"/>
              <w:rPr>
                <w:rFonts w:hint="eastAsia" w:ascii="微软雅黑" w:hAnsi="微软雅黑" w:eastAsia="微软雅黑" w:cs="微软雅黑"/>
                <w:i w:val="0"/>
                <w:iCs w:val="0"/>
                <w:color w:val="000000"/>
                <w:sz w:val="16"/>
                <w:szCs w:val="16"/>
                <w:u w:val="none"/>
              </w:rPr>
            </w:pPr>
          </w:p>
        </w:tc>
        <w:tc>
          <w:tcPr>
            <w:tcW w:w="4090" w:type="dxa"/>
            <w:tcBorders>
              <w:top w:val="single" w:color="000000" w:sz="4" w:space="0"/>
              <w:left w:val="single" w:color="000000" w:sz="4" w:space="0"/>
              <w:bottom w:val="nil"/>
              <w:right w:val="single" w:color="000000" w:sz="4" w:space="0"/>
            </w:tcBorders>
            <w:shd w:val="clear" w:color="auto" w:fill="FFFFFF"/>
            <w:vAlign w:val="center"/>
          </w:tcPr>
          <w:p w14:paraId="00C69CA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签到处工作人员</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583E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人/会</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8B2C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773E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562A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6D0A5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623" w:type="dxa"/>
            <w:vMerge w:val="continue"/>
            <w:tcBorders>
              <w:top w:val="nil"/>
              <w:left w:val="single" w:color="000000" w:sz="4" w:space="0"/>
              <w:bottom w:val="nil"/>
              <w:right w:val="single" w:color="000000" w:sz="4" w:space="0"/>
            </w:tcBorders>
            <w:shd w:val="clear" w:color="auto" w:fill="auto"/>
            <w:vAlign w:val="center"/>
          </w:tcPr>
          <w:p w14:paraId="72D0D18A">
            <w:pPr>
              <w:jc w:val="center"/>
              <w:rPr>
                <w:rFonts w:hint="eastAsia" w:ascii="微软雅黑" w:hAnsi="微软雅黑" w:eastAsia="微软雅黑" w:cs="微软雅黑"/>
                <w:i w:val="0"/>
                <w:iCs w:val="0"/>
                <w:color w:val="000000"/>
                <w:sz w:val="16"/>
                <w:szCs w:val="16"/>
                <w:u w:val="none"/>
              </w:rPr>
            </w:pPr>
          </w:p>
        </w:tc>
        <w:tc>
          <w:tcPr>
            <w:tcW w:w="4090" w:type="dxa"/>
            <w:tcBorders>
              <w:top w:val="single" w:color="000000" w:sz="4" w:space="0"/>
              <w:left w:val="single" w:color="000000" w:sz="4" w:space="0"/>
              <w:bottom w:val="nil"/>
              <w:right w:val="single" w:color="000000" w:sz="4" w:space="0"/>
            </w:tcBorders>
            <w:shd w:val="clear" w:color="auto" w:fill="FFFFFF"/>
            <w:vAlign w:val="center"/>
          </w:tcPr>
          <w:p w14:paraId="76B5107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会务执行人员</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F102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人/会</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E619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8197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0BBA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4696A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623" w:type="dxa"/>
            <w:vMerge w:val="continue"/>
            <w:tcBorders>
              <w:top w:val="nil"/>
              <w:left w:val="single" w:color="000000" w:sz="4" w:space="0"/>
              <w:bottom w:val="nil"/>
              <w:right w:val="single" w:color="000000" w:sz="4" w:space="0"/>
            </w:tcBorders>
            <w:shd w:val="clear" w:color="auto" w:fill="auto"/>
            <w:vAlign w:val="center"/>
          </w:tcPr>
          <w:p w14:paraId="460C3606">
            <w:pPr>
              <w:jc w:val="center"/>
              <w:rPr>
                <w:rFonts w:hint="eastAsia" w:ascii="微软雅黑" w:hAnsi="微软雅黑" w:eastAsia="微软雅黑" w:cs="微软雅黑"/>
                <w:i w:val="0"/>
                <w:iCs w:val="0"/>
                <w:color w:val="000000"/>
                <w:sz w:val="16"/>
                <w:szCs w:val="16"/>
                <w:u w:val="none"/>
              </w:rPr>
            </w:pPr>
          </w:p>
        </w:tc>
        <w:tc>
          <w:tcPr>
            <w:tcW w:w="4090" w:type="dxa"/>
            <w:tcBorders>
              <w:top w:val="single" w:color="000000" w:sz="4" w:space="0"/>
              <w:left w:val="single" w:color="000000" w:sz="4" w:space="0"/>
              <w:bottom w:val="nil"/>
              <w:right w:val="single" w:color="000000" w:sz="4" w:space="0"/>
            </w:tcBorders>
            <w:shd w:val="clear" w:color="auto" w:fill="FFFFFF"/>
            <w:vAlign w:val="center"/>
          </w:tcPr>
          <w:p w14:paraId="2939D45D">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控台工作人员</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3A74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人/会</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AE5D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3200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289C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35BA3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atLeast"/>
        </w:trPr>
        <w:tc>
          <w:tcPr>
            <w:tcW w:w="623" w:type="dxa"/>
            <w:vMerge w:val="continue"/>
            <w:tcBorders>
              <w:top w:val="nil"/>
              <w:left w:val="single" w:color="000000" w:sz="4" w:space="0"/>
              <w:bottom w:val="nil"/>
              <w:right w:val="single" w:color="000000" w:sz="4" w:space="0"/>
            </w:tcBorders>
            <w:shd w:val="clear" w:color="auto" w:fill="auto"/>
            <w:vAlign w:val="center"/>
          </w:tcPr>
          <w:p w14:paraId="763F4CE1">
            <w:pPr>
              <w:jc w:val="center"/>
              <w:rPr>
                <w:rFonts w:hint="eastAsia" w:ascii="微软雅黑" w:hAnsi="微软雅黑" w:eastAsia="微软雅黑" w:cs="微软雅黑"/>
                <w:i w:val="0"/>
                <w:iCs w:val="0"/>
                <w:color w:val="000000"/>
                <w:sz w:val="16"/>
                <w:szCs w:val="16"/>
                <w:u w:val="none"/>
              </w:rPr>
            </w:pPr>
          </w:p>
        </w:tc>
        <w:tc>
          <w:tcPr>
            <w:tcW w:w="4090" w:type="dxa"/>
            <w:tcBorders>
              <w:top w:val="single" w:color="000000" w:sz="4" w:space="0"/>
              <w:left w:val="single" w:color="000000" w:sz="4" w:space="0"/>
              <w:bottom w:val="nil"/>
              <w:right w:val="single" w:color="000000" w:sz="4" w:space="0"/>
            </w:tcBorders>
            <w:shd w:val="clear" w:color="auto" w:fill="FFFFFF"/>
            <w:vAlign w:val="center"/>
          </w:tcPr>
          <w:p w14:paraId="584E6B2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工作人员异地差旅</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CAF1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人/会</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F3BA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6</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1C83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9596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bl>
    <w:p w14:paraId="03E257F4">
      <w:pPr>
        <w:adjustRightInd w:val="0"/>
        <w:snapToGrid w:val="0"/>
        <w:spacing w:line="360" w:lineRule="auto"/>
        <w:rPr>
          <w:rFonts w:hint="eastAsia" w:ascii="宋体" w:hAnsi="宋体"/>
          <w:szCs w:val="21"/>
        </w:rPr>
      </w:pPr>
    </w:p>
    <w:p w14:paraId="53EEB422">
      <w:pPr>
        <w:adjustRightInd w:val="0"/>
        <w:snapToGrid w:val="0"/>
        <w:spacing w:line="360" w:lineRule="auto"/>
        <w:rPr>
          <w:rFonts w:hint="default" w:ascii="宋体" w:hAnsi="宋体" w:eastAsia="宋体"/>
          <w:sz w:val="22"/>
          <w:szCs w:val="24"/>
          <w:lang w:val="en-US" w:eastAsia="zh-CN"/>
        </w:rPr>
      </w:pPr>
      <w:r>
        <w:rPr>
          <w:rFonts w:hint="eastAsia"/>
          <w:sz w:val="22"/>
          <w:szCs w:val="24"/>
          <w:lang w:val="en-US" w:eastAsia="zh-CN"/>
        </w:rPr>
        <w:t>【报价单填写说明】</w:t>
      </w:r>
    </w:p>
    <w:p w14:paraId="1A9A3F8E">
      <w:pPr>
        <w:adjustRightInd w:val="0"/>
        <w:snapToGrid w:val="0"/>
        <w:spacing w:line="360" w:lineRule="auto"/>
        <w:rPr>
          <w:rFonts w:ascii="宋体" w:hAnsi="宋体"/>
          <w:sz w:val="22"/>
          <w:szCs w:val="24"/>
        </w:rPr>
      </w:pPr>
      <w:r>
        <w:rPr>
          <w:rFonts w:hint="eastAsia" w:ascii="宋体" w:hAnsi="宋体"/>
          <w:sz w:val="22"/>
          <w:szCs w:val="24"/>
        </w:rPr>
        <w:t>1</w:t>
      </w:r>
      <w:r>
        <w:rPr>
          <w:rFonts w:hint="eastAsia"/>
          <w:sz w:val="22"/>
          <w:szCs w:val="24"/>
          <w:lang w:val="en-US" w:eastAsia="zh-CN"/>
        </w:rPr>
        <w:t>.</w:t>
      </w:r>
      <w:r>
        <w:rPr>
          <w:rFonts w:hint="eastAsia" w:ascii="宋体" w:hAnsi="宋体"/>
          <w:sz w:val="22"/>
          <w:szCs w:val="24"/>
        </w:rPr>
        <w:t>请务必填写清楚，准确无误。</w:t>
      </w:r>
    </w:p>
    <w:p w14:paraId="1EC4BCF2">
      <w:pPr>
        <w:adjustRightInd w:val="0"/>
        <w:snapToGrid w:val="0"/>
        <w:spacing w:line="360" w:lineRule="auto"/>
        <w:rPr>
          <w:rFonts w:ascii="宋体" w:hAnsi="宋体"/>
          <w:sz w:val="22"/>
          <w:szCs w:val="24"/>
        </w:rPr>
      </w:pPr>
      <w:r>
        <w:rPr>
          <w:rFonts w:hint="eastAsia" w:ascii="宋体" w:hAnsi="宋体"/>
          <w:sz w:val="22"/>
          <w:szCs w:val="24"/>
        </w:rPr>
        <w:t>2</w:t>
      </w:r>
      <w:r>
        <w:rPr>
          <w:rFonts w:hint="eastAsia"/>
          <w:sz w:val="22"/>
          <w:szCs w:val="24"/>
          <w:lang w:val="en-US" w:eastAsia="zh-CN"/>
        </w:rPr>
        <w:t>.</w:t>
      </w:r>
      <w:r>
        <w:rPr>
          <w:rFonts w:hint="eastAsia" w:ascii="宋体" w:hAnsi="宋体"/>
          <w:sz w:val="22"/>
          <w:szCs w:val="24"/>
        </w:rPr>
        <w:t>每个空格均需填写，费用属于免费提供的请填写“免费”。</w:t>
      </w:r>
    </w:p>
    <w:p w14:paraId="546FBAC2">
      <w:pPr>
        <w:adjustRightInd w:val="0"/>
        <w:snapToGrid w:val="0"/>
        <w:spacing w:line="360" w:lineRule="auto"/>
        <w:rPr>
          <w:rFonts w:ascii="宋体" w:hAnsi="宋体"/>
          <w:sz w:val="22"/>
          <w:szCs w:val="22"/>
        </w:rPr>
      </w:pPr>
      <w:r>
        <w:rPr>
          <w:rFonts w:ascii="宋体" w:hAnsi="宋体"/>
          <w:sz w:val="22"/>
          <w:szCs w:val="24"/>
        </w:rPr>
        <w:t>3</w:t>
      </w:r>
      <w:r>
        <w:rPr>
          <w:rFonts w:hint="eastAsia"/>
          <w:sz w:val="22"/>
          <w:szCs w:val="24"/>
          <w:lang w:val="en-US" w:eastAsia="zh-CN"/>
        </w:rPr>
        <w:t>.</w:t>
      </w:r>
      <w:r>
        <w:rPr>
          <w:rFonts w:hint="eastAsia" w:ascii="宋体" w:hAnsi="宋体"/>
          <w:sz w:val="22"/>
          <w:szCs w:val="22"/>
        </w:rPr>
        <w:t>报价</w:t>
      </w:r>
      <w:r>
        <w:rPr>
          <w:rFonts w:hint="eastAsia"/>
          <w:sz w:val="22"/>
          <w:szCs w:val="22"/>
          <w:lang w:val="en-US" w:eastAsia="zh-CN"/>
        </w:rPr>
        <w:t>金额最多</w:t>
      </w:r>
      <w:r>
        <w:rPr>
          <w:rFonts w:hint="eastAsia" w:ascii="宋体" w:hAnsi="宋体"/>
          <w:sz w:val="22"/>
          <w:szCs w:val="22"/>
        </w:rPr>
        <w:t>保留两位小数，若投标人所报价格超过两位小数则按照四舍五入的原则保留两位数，且评标及后续合同执行价格按照四舍五入后执行。</w:t>
      </w:r>
    </w:p>
    <w:p w14:paraId="4F4F9D81">
      <w:pPr>
        <w:tabs>
          <w:tab w:val="left" w:pos="4512"/>
        </w:tabs>
        <w:adjustRightInd w:val="0"/>
        <w:snapToGrid w:val="0"/>
        <w:spacing w:line="360" w:lineRule="auto"/>
        <w:rPr>
          <w:rFonts w:hint="eastAsia" w:ascii="宋体" w:hAnsi="宋体"/>
          <w:sz w:val="22"/>
          <w:szCs w:val="24"/>
        </w:rPr>
      </w:pPr>
      <w:r>
        <w:rPr>
          <w:rFonts w:hint="eastAsia" w:ascii="宋体" w:hAnsi="宋体"/>
          <w:sz w:val="22"/>
          <w:szCs w:val="24"/>
        </w:rPr>
        <w:t>如果不按照上述要求提供《投标报价表》将被视为未实质性响应《招标文件》。</w:t>
      </w:r>
    </w:p>
    <w:p w14:paraId="431018D2">
      <w:pPr>
        <w:tabs>
          <w:tab w:val="left" w:pos="4512"/>
        </w:tabs>
        <w:adjustRightInd w:val="0"/>
        <w:snapToGrid w:val="0"/>
        <w:spacing w:line="360" w:lineRule="auto"/>
        <w:rPr>
          <w:rFonts w:ascii="华文仿宋" w:hAnsi="华文仿宋" w:eastAsia="华文仿宋" w:cs="华文仿宋"/>
          <w:color w:val="auto"/>
          <w:sz w:val="33"/>
          <w:szCs w:val="33"/>
          <w:highlight w:val="none"/>
        </w:rPr>
      </w:pPr>
      <w:r>
        <w:rPr>
          <w:rFonts w:hint="eastAsia" w:ascii="华文仿宋" w:hAnsi="华文仿宋" w:eastAsia="华文仿宋" w:cs="华文仿宋"/>
          <w:b/>
          <w:bCs/>
          <w:color w:val="auto"/>
          <w:spacing w:val="-15"/>
          <w:sz w:val="33"/>
          <w:szCs w:val="33"/>
          <w:highlight w:val="none"/>
        </w:rPr>
        <w:t>供应商名称：</w:t>
      </w:r>
    </w:p>
    <w:p w14:paraId="5DCAD6C0">
      <w:pPr>
        <w:spacing w:before="200" w:after="0" w:line="224" w:lineRule="auto"/>
        <w:ind w:left="0"/>
        <w:rPr>
          <w:rFonts w:hint="eastAsia" w:ascii="华文仿宋" w:hAnsi="华文仿宋" w:eastAsia="华文仿宋" w:cs="华文仿宋"/>
          <w:b/>
          <w:bCs/>
          <w:color w:val="auto"/>
          <w:spacing w:val="-20"/>
          <w:sz w:val="33"/>
          <w:szCs w:val="33"/>
          <w:highlight w:val="none"/>
        </w:rPr>
      </w:pPr>
      <w:r>
        <w:rPr>
          <w:rFonts w:hint="eastAsia" w:ascii="华文仿宋" w:hAnsi="华文仿宋" w:eastAsia="华文仿宋" w:cs="华文仿宋"/>
          <w:b/>
          <w:bCs/>
          <w:color w:val="auto"/>
          <w:spacing w:val="-20"/>
          <w:sz w:val="33"/>
          <w:szCs w:val="33"/>
          <w:highlight w:val="none"/>
        </w:rPr>
        <w:t>法定代表人签章：</w:t>
      </w:r>
    </w:p>
    <w:p w14:paraId="333B491E">
      <w:pPr>
        <w:spacing w:before="200" w:line="224" w:lineRule="auto"/>
        <w:ind w:left="0"/>
        <w:rPr>
          <w:rFonts w:hint="eastAsia" w:ascii="华文仿宋" w:hAnsi="华文仿宋" w:eastAsia="华文仿宋" w:cs="华文仿宋"/>
          <w:b/>
          <w:bCs/>
          <w:color w:val="auto"/>
          <w:spacing w:val="4"/>
          <w:sz w:val="33"/>
          <w:szCs w:val="33"/>
          <w:highlight w:val="none"/>
        </w:rPr>
      </w:pPr>
      <w:r>
        <w:rPr>
          <w:rFonts w:hint="eastAsia" w:ascii="华文仿宋" w:hAnsi="华文仿宋" w:eastAsia="华文仿宋" w:cs="华文仿宋"/>
          <w:b/>
          <w:bCs/>
          <w:color w:val="auto"/>
          <w:spacing w:val="4"/>
          <w:sz w:val="33"/>
          <w:szCs w:val="33"/>
          <w:highlight w:val="none"/>
        </w:rPr>
        <w:t>报价日期：</w:t>
      </w:r>
      <w:r>
        <w:rPr>
          <w:rFonts w:hint="eastAsia" w:ascii="华文仿宋" w:hAnsi="华文仿宋" w:eastAsia="华文仿宋" w:cs="华文仿宋"/>
          <w:b/>
          <w:bCs/>
          <w:color w:val="auto"/>
          <w:spacing w:val="4"/>
          <w:sz w:val="33"/>
          <w:szCs w:val="33"/>
          <w:highlight w:val="none"/>
          <w:lang w:val="en-US" w:eastAsia="zh-CN"/>
        </w:rPr>
        <w:t>2026</w:t>
      </w:r>
      <w:r>
        <w:rPr>
          <w:rFonts w:hint="eastAsia" w:ascii="华文仿宋" w:hAnsi="华文仿宋" w:eastAsia="华文仿宋" w:cs="华文仿宋"/>
          <w:b/>
          <w:bCs/>
          <w:color w:val="auto"/>
          <w:spacing w:val="4"/>
          <w:sz w:val="33"/>
          <w:szCs w:val="33"/>
          <w:highlight w:val="none"/>
        </w:rPr>
        <w:t>年</w:t>
      </w:r>
      <w:r>
        <w:rPr>
          <w:rFonts w:hint="eastAsia" w:ascii="华文仿宋" w:hAnsi="华文仿宋" w:eastAsia="华文仿宋" w:cs="华文仿宋"/>
          <w:b/>
          <w:bCs/>
          <w:color w:val="auto"/>
          <w:spacing w:val="4"/>
          <w:sz w:val="33"/>
          <w:szCs w:val="33"/>
          <w:highlight w:val="none"/>
          <w:lang w:val="en-US" w:eastAsia="zh-CN"/>
        </w:rPr>
        <w:t>3</w:t>
      </w:r>
      <w:r>
        <w:rPr>
          <w:rFonts w:hint="eastAsia" w:ascii="华文仿宋" w:hAnsi="华文仿宋" w:eastAsia="华文仿宋" w:cs="华文仿宋"/>
          <w:b/>
          <w:bCs/>
          <w:color w:val="auto"/>
          <w:spacing w:val="4"/>
          <w:sz w:val="33"/>
          <w:szCs w:val="33"/>
          <w:highlight w:val="none"/>
        </w:rPr>
        <w:t>月</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日</w:t>
      </w:r>
    </w:p>
    <w:p w14:paraId="17C9F91B">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hint="eastAsia" w:ascii="宋体" w:hAnsi="宋体" w:eastAsia="宋体" w:cs="宋体"/>
          <w:color w:val="auto"/>
          <w:sz w:val="24"/>
          <w:szCs w:val="24"/>
          <w:highlight w:val="none"/>
        </w:rPr>
      </w:pPr>
    </w:p>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9B60DE8-5F55-45DA-87C0-8B9452934B6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C6F8042-EE04-446F-A0CA-D0E0F2DAFCDE}"/>
  </w:font>
  <w:font w:name="Cambria">
    <w:panose1 w:val="02040503050406030204"/>
    <w:charset w:val="00"/>
    <w:family w:val="roman"/>
    <w:pitch w:val="default"/>
    <w:sig w:usb0="E00006FF" w:usb1="420024FF" w:usb2="02000000" w:usb3="00000000" w:csb0="2000019F" w:csb1="00000000"/>
    <w:embedRegular r:id="rId3" w:fontKey="{8220DAC1-0CFC-40AD-969C-B5C6CFA407BF}"/>
  </w:font>
  <w:font w:name="微软雅黑">
    <w:panose1 w:val="020B0503020204020204"/>
    <w:charset w:val="86"/>
    <w:family w:val="auto"/>
    <w:pitch w:val="default"/>
    <w:sig w:usb0="80000287" w:usb1="2ACF3C50" w:usb2="00000016" w:usb3="00000000" w:csb0="0004001F" w:csb1="00000000"/>
    <w:embedRegular r:id="rId4" w:fontKey="{ED9CA298-63AC-4348-A3F3-04C658411F36}"/>
  </w:font>
  <w:font w:name="仿宋_GB2312">
    <w:panose1 w:val="02010609030101010101"/>
    <w:charset w:val="86"/>
    <w:family w:val="auto"/>
    <w:pitch w:val="default"/>
    <w:sig w:usb0="00000001" w:usb1="080E0000" w:usb2="00000000" w:usb3="00000000" w:csb0="00040000" w:csb1="00000000"/>
    <w:embedRegular r:id="rId5" w:fontKey="{A834551C-8FEF-4D27-A557-D89D5D6F6F47}"/>
  </w:font>
  <w:font w:name="方正小标宋_GBK">
    <w:panose1 w:val="02000000000000000000"/>
    <w:charset w:val="86"/>
    <w:family w:val="script"/>
    <w:pitch w:val="default"/>
    <w:sig w:usb0="A00002BF" w:usb1="38CF7CFA" w:usb2="00082016" w:usb3="00000000" w:csb0="00040001" w:csb1="00000000"/>
    <w:embedRegular r:id="rId6" w:fontKey="{72AD58EB-D951-4041-B9A2-66B8E1B305A8}"/>
  </w:font>
  <w:font w:name="方正仿宋_GBK">
    <w:panose1 w:val="02000000000000000000"/>
    <w:charset w:val="86"/>
    <w:family w:val="auto"/>
    <w:pitch w:val="default"/>
    <w:sig w:usb0="A00002BF" w:usb1="38CF7CFA" w:usb2="00082016" w:usb3="00000000" w:csb0="00040001" w:csb1="00000000"/>
    <w:embedRegular r:id="rId7" w:fontKey="{6562ED29-67AA-4FF1-A87D-EE9A5E60BC33}"/>
  </w:font>
  <w:font w:name="华文仿宋">
    <w:panose1 w:val="02010600040101010101"/>
    <w:charset w:val="86"/>
    <w:family w:val="auto"/>
    <w:pitch w:val="default"/>
    <w:sig w:usb0="00000287" w:usb1="080F0000" w:usb2="00000000" w:usb3="00000000" w:csb0="0004009F" w:csb1="DFD70000"/>
    <w:embedRegular r:id="rId8" w:fontKey="{BED21D15-A327-413B-AAC6-42C02C8CDEDD}"/>
  </w:font>
  <w:font w:name="方正仿宋_GB2312">
    <w:panose1 w:val="02000000000000000000"/>
    <w:charset w:val="86"/>
    <w:family w:val="auto"/>
    <w:pitch w:val="default"/>
    <w:sig w:usb0="A00002BF" w:usb1="184F6CFA" w:usb2="00000012" w:usb3="00000000" w:csb0="00040001" w:csb1="00000000"/>
    <w:embedRegular r:id="rId9" w:fontKey="{DCFF850F-934A-4D91-BD44-BCC4BDBB711C}"/>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CE90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D8500">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49D8500">
                    <w:pPr>
                      <w:pStyle w:val="5"/>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AF834">
                          <w:pPr>
                            <w:pStyle w:val="5"/>
                            <w:rPr>
                              <w:rFonts w:hint="eastAsia" w:eastAsia="宋体"/>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86AF834">
                    <w:pPr>
                      <w:pStyle w:val="5"/>
                      <w:rPr>
                        <w:rFonts w:hint="eastAsia" w:eastAsia="宋体"/>
                        <w:sz w:val="28"/>
                        <w:szCs w:val="28"/>
                        <w:lang w:val="en-US"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C28817"/>
    <w:multiLevelType w:val="singleLevel"/>
    <w:tmpl w:val="8CC28817"/>
    <w:lvl w:ilvl="0" w:tentative="0">
      <w:start w:val="1"/>
      <w:numFmt w:val="chineseCounting"/>
      <w:suff w:val="nothing"/>
      <w:lvlText w:val="%1、"/>
      <w:lvlJc w:val="left"/>
      <w:rPr>
        <w:rFonts w:hint="eastAsia"/>
      </w:rPr>
    </w:lvl>
  </w:abstractNum>
  <w:abstractNum w:abstractNumId="1">
    <w:nsid w:val="A62C3705"/>
    <w:multiLevelType w:val="singleLevel"/>
    <w:tmpl w:val="A62C3705"/>
    <w:lvl w:ilvl="0" w:tentative="0">
      <w:start w:val="1"/>
      <w:numFmt w:val="chineseCounting"/>
      <w:suff w:val="nothing"/>
      <w:lvlText w:val="（%1）"/>
      <w:lvlJc w:val="left"/>
      <w:rPr>
        <w:rFonts w:hint="eastAsia"/>
      </w:rPr>
    </w:lvl>
  </w:abstractNum>
  <w:abstractNum w:abstractNumId="2">
    <w:nsid w:val="FBFFC4D8"/>
    <w:multiLevelType w:val="singleLevel"/>
    <w:tmpl w:val="FBFFC4D8"/>
    <w:lvl w:ilvl="0" w:tentative="0">
      <w:start w:val="1"/>
      <w:numFmt w:val="decimal"/>
      <w:lvlText w:val="%1."/>
      <w:lvlJc w:val="left"/>
      <w:pPr>
        <w:tabs>
          <w:tab w:val="left" w:pos="312"/>
        </w:tabs>
      </w:pPr>
    </w:lvl>
  </w:abstractNum>
  <w:abstractNum w:abstractNumId="3">
    <w:nsid w:val="00000015"/>
    <w:multiLevelType w:val="multilevel"/>
    <w:tmpl w:val="00000015"/>
    <w:lvl w:ilvl="0" w:tentative="0">
      <w:start w:val="1"/>
      <w:numFmt w:val="decimal"/>
      <w:pStyle w:val="2"/>
      <w:lvlText w:val="第%1章"/>
      <w:lvlJc w:val="left"/>
      <w:pPr>
        <w:tabs>
          <w:tab w:val="left" w:pos="4565"/>
        </w:tabs>
        <w:ind w:left="4565" w:hanging="425"/>
      </w:pPr>
      <w:rPr>
        <w:rFonts w:hint="default" w:ascii="Times New Roman" w:hAnsi="Times New Roman" w:eastAsia="宋体"/>
        <w:b/>
        <w:i w:val="0"/>
        <w:sz w:val="36"/>
      </w:rPr>
    </w:lvl>
    <w:lvl w:ilvl="1" w:tentative="0">
      <w:start w:val="1"/>
      <w:numFmt w:val="decimal"/>
      <w:lvlText w:val="%1.%2."/>
      <w:lvlJc w:val="left"/>
      <w:pPr>
        <w:tabs>
          <w:tab w:val="left" w:pos="8788"/>
        </w:tabs>
        <w:ind w:left="8788" w:hanging="567"/>
      </w:pPr>
      <w:rPr>
        <w:rFonts w:hint="default" w:hAnsi="Times New Roman"/>
        <w:b/>
        <w:i w:val="0"/>
        <w:sz w:val="32"/>
      </w:rPr>
    </w:lvl>
    <w:lvl w:ilvl="2" w:tentative="0">
      <w:start w:val="1"/>
      <w:numFmt w:val="decimal"/>
      <w:lvlText w:val="%1.%2.%3."/>
      <w:lvlJc w:val="left"/>
      <w:pPr>
        <w:tabs>
          <w:tab w:val="left" w:pos="709"/>
        </w:tabs>
        <w:ind w:left="709" w:hanging="709"/>
      </w:pPr>
      <w:rPr>
        <w:rFonts w:hint="default" w:hAnsi="宋体"/>
        <w:b/>
        <w:i w:val="0"/>
        <w:sz w:val="24"/>
        <w:szCs w:val="24"/>
      </w:rPr>
    </w:lvl>
    <w:lvl w:ilvl="3" w:tentative="0">
      <w:start w:val="1"/>
      <w:numFmt w:val="decimal"/>
      <w:lvlText w:val="%1.%2.%3.%4."/>
      <w:lvlJc w:val="left"/>
      <w:pPr>
        <w:tabs>
          <w:tab w:val="left" w:pos="1949"/>
        </w:tabs>
        <w:ind w:left="1949" w:hanging="851"/>
      </w:pPr>
      <w:rPr>
        <w:rFonts w:hint="default" w:ascii="Times New Roman" w:hAnsi="Times New Roman" w:eastAsia="宋体"/>
        <w:b/>
        <w:i w:val="0"/>
        <w:sz w:val="24"/>
        <w:szCs w:val="24"/>
      </w:rPr>
    </w:lvl>
    <w:lvl w:ilvl="4" w:tentative="0">
      <w:start w:val="1"/>
      <w:numFmt w:val="decimal"/>
      <w:lvlText w:val="%1.%2.%3.%4.%5."/>
      <w:lvlJc w:val="left"/>
      <w:pPr>
        <w:tabs>
          <w:tab w:val="left" w:pos="1730"/>
        </w:tabs>
        <w:ind w:left="1730" w:hanging="992"/>
      </w:pPr>
      <w:rPr>
        <w:rFonts w:hint="default" w:ascii="Times New Roman" w:hAnsi="Times New Roman" w:eastAsia="宋体"/>
        <w:b/>
        <w:i w:val="0"/>
        <w:sz w:val="28"/>
      </w:rPr>
    </w:lvl>
    <w:lvl w:ilvl="5" w:tentative="0">
      <w:start w:val="1"/>
      <w:numFmt w:val="decimal"/>
      <w:lvlText w:val="%1.%2.%3.%4.%5.%6."/>
      <w:lvlJc w:val="left"/>
      <w:pPr>
        <w:tabs>
          <w:tab w:val="left" w:pos="1872"/>
        </w:tabs>
        <w:ind w:left="1872" w:hanging="1134"/>
      </w:pPr>
      <w:rPr>
        <w:rFonts w:hint="default"/>
        <w:b/>
        <w:i w:val="0"/>
        <w:sz w:val="28"/>
      </w:rPr>
    </w:lvl>
    <w:lvl w:ilvl="6" w:tentative="0">
      <w:start w:val="1"/>
      <w:numFmt w:val="decimal"/>
      <w:lvlText w:val="%1.%2.%3.%4.%5.%6.%7."/>
      <w:lvlJc w:val="left"/>
      <w:pPr>
        <w:tabs>
          <w:tab w:val="left" w:pos="2014"/>
        </w:tabs>
        <w:ind w:left="2014" w:hanging="1276"/>
      </w:pPr>
      <w:rPr>
        <w:rFonts w:hint="eastAsia"/>
      </w:rPr>
    </w:lvl>
    <w:lvl w:ilvl="7" w:tentative="0">
      <w:start w:val="1"/>
      <w:numFmt w:val="decimal"/>
      <w:lvlText w:val="%1.%2.%3.%4.%5.%6.%7.%8."/>
      <w:lvlJc w:val="left"/>
      <w:pPr>
        <w:tabs>
          <w:tab w:val="left" w:pos="2156"/>
        </w:tabs>
        <w:ind w:left="2156" w:hanging="1418"/>
      </w:pPr>
      <w:rPr>
        <w:rFonts w:hint="eastAsia"/>
      </w:rPr>
    </w:lvl>
    <w:lvl w:ilvl="8" w:tentative="0">
      <w:start w:val="1"/>
      <w:numFmt w:val="decimal"/>
      <w:lvlText w:val="%1.%2.%3.%4.%5.%6.%7.%8.%9."/>
      <w:lvlJc w:val="left"/>
      <w:pPr>
        <w:tabs>
          <w:tab w:val="left" w:pos="2297"/>
        </w:tabs>
        <w:ind w:left="2297" w:hanging="1559"/>
      </w:pPr>
      <w:rPr>
        <w:rFonts w:hint="eastAsia"/>
      </w:rPr>
    </w:lvl>
  </w:abstractNum>
  <w:abstractNum w:abstractNumId="4">
    <w:nsid w:val="3224A583"/>
    <w:multiLevelType w:val="singleLevel"/>
    <w:tmpl w:val="3224A583"/>
    <w:lvl w:ilvl="0" w:tentative="0">
      <w:start w:val="2"/>
      <w:numFmt w:val="chineseCounting"/>
      <w:suff w:val="nothing"/>
      <w:lvlText w:val="%1、"/>
      <w:lvlJc w:val="left"/>
      <w:rPr>
        <w:rFonts w:hint="eastAsia"/>
      </w:rPr>
    </w:lvl>
  </w:abstractNum>
  <w:abstractNum w:abstractNumId="5">
    <w:nsid w:val="337EFA39"/>
    <w:multiLevelType w:val="singleLevel"/>
    <w:tmpl w:val="337EFA39"/>
    <w:lvl w:ilvl="0" w:tentative="0">
      <w:start w:val="1"/>
      <w:numFmt w:val="chineseCounting"/>
      <w:suff w:val="nothing"/>
      <w:lvlText w:val="（%1）"/>
      <w:lvlJc w:val="left"/>
      <w:rPr>
        <w:rFonts w:hint="eastAsia"/>
      </w:rPr>
    </w:lvl>
  </w:abstractNum>
  <w:num w:numId="1">
    <w:abstractNumId w:val="3"/>
  </w:num>
  <w:num w:numId="2">
    <w:abstractNumId w:val="1"/>
  </w:num>
  <w:num w:numId="3">
    <w:abstractNumId w:val="5"/>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lM2Y5ZmRlZTFjMzUyNWU3YzFiZGJmZjczMTNjYjAifQ=="/>
  </w:docVars>
  <w:rsids>
    <w:rsidRoot w:val="73147249"/>
    <w:rsid w:val="00DD67DB"/>
    <w:rsid w:val="0107397E"/>
    <w:rsid w:val="021031B6"/>
    <w:rsid w:val="07DE218C"/>
    <w:rsid w:val="096B2D0D"/>
    <w:rsid w:val="0A253C8E"/>
    <w:rsid w:val="0C7B478E"/>
    <w:rsid w:val="0C96236A"/>
    <w:rsid w:val="10F35541"/>
    <w:rsid w:val="12773D13"/>
    <w:rsid w:val="139E0D62"/>
    <w:rsid w:val="14771BA8"/>
    <w:rsid w:val="196F51D8"/>
    <w:rsid w:val="19F03A10"/>
    <w:rsid w:val="1B5D4E02"/>
    <w:rsid w:val="2107699E"/>
    <w:rsid w:val="21611B5D"/>
    <w:rsid w:val="24D96C47"/>
    <w:rsid w:val="25E248AA"/>
    <w:rsid w:val="27D67551"/>
    <w:rsid w:val="2A011AF7"/>
    <w:rsid w:val="2CC1272A"/>
    <w:rsid w:val="3031330E"/>
    <w:rsid w:val="3485623E"/>
    <w:rsid w:val="370740E8"/>
    <w:rsid w:val="396705D6"/>
    <w:rsid w:val="3B9E520B"/>
    <w:rsid w:val="3C953B6E"/>
    <w:rsid w:val="415A4AB8"/>
    <w:rsid w:val="427F7E2D"/>
    <w:rsid w:val="44650C44"/>
    <w:rsid w:val="469841DE"/>
    <w:rsid w:val="47573C89"/>
    <w:rsid w:val="47C73000"/>
    <w:rsid w:val="4BCC34B6"/>
    <w:rsid w:val="4D3B5365"/>
    <w:rsid w:val="4E3F60E8"/>
    <w:rsid w:val="535844AE"/>
    <w:rsid w:val="535B3A42"/>
    <w:rsid w:val="536438FF"/>
    <w:rsid w:val="537E2D2C"/>
    <w:rsid w:val="54235FE8"/>
    <w:rsid w:val="5590248E"/>
    <w:rsid w:val="55D248B5"/>
    <w:rsid w:val="57514341"/>
    <w:rsid w:val="575A3D62"/>
    <w:rsid w:val="577F1A6A"/>
    <w:rsid w:val="59DB2955"/>
    <w:rsid w:val="5AD703AE"/>
    <w:rsid w:val="5D2D6DAE"/>
    <w:rsid w:val="5E826883"/>
    <w:rsid w:val="5EA91E2C"/>
    <w:rsid w:val="5F321EFF"/>
    <w:rsid w:val="5F9A13B1"/>
    <w:rsid w:val="61C02DDD"/>
    <w:rsid w:val="61F4308A"/>
    <w:rsid w:val="646D2037"/>
    <w:rsid w:val="663556F8"/>
    <w:rsid w:val="67695F35"/>
    <w:rsid w:val="686D0380"/>
    <w:rsid w:val="69F021DB"/>
    <w:rsid w:val="6D2134F3"/>
    <w:rsid w:val="6D8223FC"/>
    <w:rsid w:val="6DC31443"/>
    <w:rsid w:val="6E987DBA"/>
    <w:rsid w:val="700D7DBB"/>
    <w:rsid w:val="70F73101"/>
    <w:rsid w:val="71577D40"/>
    <w:rsid w:val="73147249"/>
    <w:rsid w:val="747B4EAB"/>
    <w:rsid w:val="77D24BDC"/>
    <w:rsid w:val="798251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lang w:val="en-US" w:eastAsia="zh-CN" w:bidi="ar-SA"/>
    </w:rPr>
  </w:style>
  <w:style w:type="paragraph" w:styleId="2">
    <w:name w:val="heading 1"/>
    <w:basedOn w:val="1"/>
    <w:next w:val="1"/>
    <w:link w:val="11"/>
    <w:qFormat/>
    <w:uiPriority w:val="9"/>
    <w:pPr>
      <w:keepNext/>
      <w:keepLines/>
      <w:numPr>
        <w:ilvl w:val="0"/>
        <w:numId w:val="1"/>
      </w:numPr>
      <w:tabs>
        <w:tab w:val="left" w:pos="3827"/>
      </w:tabs>
      <w:spacing w:before="340" w:after="330" w:line="576" w:lineRule="auto"/>
      <w:jc w:val="left"/>
      <w:outlineLvl w:val="0"/>
    </w:pPr>
    <w:rPr>
      <w:rFonts w:ascii="Times New Roman" w:hAnsi="Times New Roman" w:cs="Times New Roman"/>
      <w:b/>
      <w:kern w:val="44"/>
      <w:sz w:val="36"/>
    </w:rPr>
  </w:style>
  <w:style w:type="paragraph" w:styleId="3">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Title"/>
    <w:basedOn w:val="1"/>
    <w:next w:val="1"/>
    <w:qFormat/>
    <w:uiPriority w:val="10"/>
    <w:pPr>
      <w:spacing w:before="240" w:after="60"/>
      <w:jc w:val="center"/>
      <w:outlineLvl w:val="0"/>
    </w:pPr>
    <w:rPr>
      <w:rFonts w:ascii="Cambria" w:hAnsi="Cambria" w:cs="Times New Roman"/>
      <w:b/>
      <w:bCs/>
      <w:sz w:val="32"/>
      <w:szCs w:val="32"/>
    </w:rPr>
  </w:style>
  <w:style w:type="character" w:customStyle="1" w:styleId="11">
    <w:name w:val="标题 1 Char"/>
    <w:basedOn w:val="10"/>
    <w:link w:val="2"/>
    <w:autoRedefine/>
    <w:qFormat/>
    <w:uiPriority w:val="9"/>
    <w:rPr>
      <w:rFonts w:ascii="Times New Roman" w:hAnsi="Times New Roman" w:cs="Times New Roman"/>
      <w:b/>
      <w:kern w:val="44"/>
      <w:sz w:val="36"/>
    </w:rPr>
  </w:style>
  <w:style w:type="character" w:customStyle="1" w:styleId="12">
    <w:name w:val="font41"/>
    <w:basedOn w:val="10"/>
    <w:qFormat/>
    <w:uiPriority w:val="0"/>
    <w:rPr>
      <w:rFonts w:hint="eastAsia" w:ascii="微软雅黑" w:hAnsi="微软雅黑" w:eastAsia="微软雅黑" w:cs="微软雅黑"/>
      <w:b/>
      <w:bCs/>
      <w:color w:val="000000"/>
      <w:sz w:val="28"/>
      <w:szCs w:val="28"/>
      <w:u w:val="none"/>
    </w:rPr>
  </w:style>
  <w:style w:type="character" w:customStyle="1" w:styleId="13">
    <w:name w:val="font111"/>
    <w:basedOn w:val="10"/>
    <w:qFormat/>
    <w:uiPriority w:val="0"/>
    <w:rPr>
      <w:rFonts w:hint="eastAsia" w:ascii="微软雅黑" w:hAnsi="微软雅黑" w:eastAsia="微软雅黑" w:cs="微软雅黑"/>
      <w:b/>
      <w:bCs/>
      <w:color w:val="C00000"/>
      <w:sz w:val="28"/>
      <w:szCs w:val="28"/>
      <w:u w:val="none"/>
    </w:rPr>
  </w:style>
  <w:style w:type="character" w:customStyle="1" w:styleId="14">
    <w:name w:val="font112"/>
    <w:basedOn w:val="10"/>
    <w:qFormat/>
    <w:uiPriority w:val="0"/>
    <w:rPr>
      <w:rFonts w:hint="eastAsia" w:ascii="微软雅黑" w:hAnsi="微软雅黑" w:eastAsia="微软雅黑" w:cs="微软雅黑"/>
      <w:b/>
      <w:bCs/>
      <w:color w:val="C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75</Words>
  <Characters>78</Characters>
  <Lines>0</Lines>
  <Paragraphs>0</Paragraphs>
  <TotalTime>12</TotalTime>
  <ScaleCrop>false</ScaleCrop>
  <LinksUpToDate>false</LinksUpToDate>
  <CharactersWithSpaces>106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2024-05-29T07:05:00Z</dcterms:created>
  <dc:creator>LQ</dc:creator>
  <cp:lastModifiedBy>赖倩</cp:lastModifiedBy>
  <cp:lastPrinted>2026-07-09T08:11:00Z</cp:lastPrinted>
  <dcterms:modified xsi:type="dcterms:W3CDTF">2026-07-10T02:17:20Z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0DFBA24692924E9A9E86BBED66F8B617_13</vt:lpwstr>
  </property>
  <property fmtid="{D5CDD505-2E9C-101B-9397-08002B2CF9AE}" pid="4" name="KSOTemplateDocerSaveRecord">
    <vt:lpwstr>eyJoZGlkIjoiOTkxMWY1ZTQzMGNlMzk4ZGM0Zjk2NzJmMmU4MmE0ZWMiLCJ1c2VySWQiOiIxNDQ5NzU2MDg3In0=</vt:lpwstr>
  </property>
</Properties>
</file>