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62F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健知汇·医学知识赋能工程</w:t>
      </w:r>
    </w:p>
    <w:p w14:paraId="74E83D9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第三方数字化平台与运维服务供应商采购比选公告</w:t>
      </w:r>
    </w:p>
    <w:p w14:paraId="6B6195F6">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仿宋" w:hAnsi="仿宋" w:eastAsia="仿宋"/>
          <w:sz w:val="28"/>
          <w:szCs w:val="28"/>
        </w:rPr>
      </w:pPr>
    </w:p>
    <w:p w14:paraId="68E8FAB7">
      <w:pPr>
        <w:keepNext w:val="0"/>
        <w:keepLines w:val="0"/>
        <w:pageBreakBefore w:val="0"/>
        <w:widowControl/>
        <w:numPr>
          <w:ilvl w:val="0"/>
          <w:numId w:val="1"/>
        </w:numPr>
        <w:kinsoku/>
        <w:wordWrap/>
        <w:overflowPunct/>
        <w:topLinePunct w:val="0"/>
        <w:autoSpaceDE/>
        <w:autoSpaceDN/>
        <w:bidi w:val="0"/>
        <w:adjustRightInd/>
        <w:snapToGrid w:val="0"/>
        <w:spacing w:line="500" w:lineRule="exact"/>
        <w:textAlignment w:val="auto"/>
        <w:rPr>
          <w:rFonts w:hint="eastAsia" w:ascii="黑体" w:hAnsi="黑体" w:eastAsia="黑体" w:cs="黑体"/>
          <w:sz w:val="32"/>
          <w:szCs w:val="32"/>
        </w:rPr>
      </w:pPr>
      <w:r>
        <w:rPr>
          <w:rFonts w:hint="eastAsia" w:ascii="黑体" w:hAnsi="黑体" w:eastAsia="黑体" w:cs="黑体"/>
          <w:sz w:val="32"/>
          <w:szCs w:val="32"/>
        </w:rPr>
        <w:t>项目概况</w:t>
      </w:r>
    </w:p>
    <w:p w14:paraId="0A69ADBF">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bookmarkStart w:id="0" w:name="_Toc35393790"/>
      <w:bookmarkStart w:id="1" w:name="_Toc35393621"/>
      <w:bookmarkStart w:id="2" w:name="_Toc28359002"/>
      <w:bookmarkStart w:id="3" w:name="_Toc28359079"/>
      <w:bookmarkStart w:id="4" w:name="_Hlk24379207"/>
      <w:r>
        <w:rPr>
          <w:rFonts w:hint="eastAsia" w:ascii="仿宋_GB2312" w:hAnsi="仿宋_GB2312" w:eastAsia="仿宋_GB2312" w:cs="仿宋_GB2312"/>
          <w:color w:val="auto"/>
          <w:sz w:val="32"/>
          <w:szCs w:val="32"/>
          <w:highlight w:val="none"/>
          <w:lang w:val="en-US" w:eastAsia="zh-CN"/>
        </w:rPr>
        <w:t>为贯彻落实《“健康中国2030”规划纲要》精神，推动医学知识下沉基层、提升医务人员专业能力，四川省健康促进基金会发起“健知汇·医学知识赋能工程”，紧扣《“健康中国 2030”规划纲要》核心目标，旨在</w:t>
      </w:r>
      <w:r>
        <w:rPr>
          <w:rFonts w:hint="eastAsia" w:ascii="仿宋_GB2312" w:hAnsi="仿宋_GB2312" w:eastAsia="仿宋_GB2312" w:cs="仿宋_GB2312"/>
          <w:color w:val="000000"/>
          <w:sz w:val="32"/>
          <w:szCs w:val="32"/>
          <w:lang w:val="en-US" w:eastAsia="zh-CN"/>
        </w:rPr>
        <w:t>打造</w:t>
      </w:r>
      <w:r>
        <w:rPr>
          <w:rFonts w:hint="eastAsia" w:ascii="仿宋_GB2312" w:hAnsi="仿宋_GB2312" w:eastAsia="仿宋_GB2312" w:cs="仿宋_GB2312"/>
          <w:color w:val="000000"/>
          <w:sz w:val="32"/>
          <w:szCs w:val="32"/>
        </w:rPr>
        <w:t>以</w:t>
      </w:r>
      <w:r>
        <w:rPr>
          <w:rFonts w:hint="eastAsia" w:ascii="仿宋_GB2312" w:hAnsi="仿宋_GB2312" w:eastAsia="仿宋_GB2312" w:cs="仿宋_GB2312"/>
          <w:color w:val="000000"/>
          <w:sz w:val="32"/>
          <w:szCs w:val="32"/>
          <w:lang w:val="en-US" w:eastAsia="zh-CN"/>
        </w:rPr>
        <w:t>不同医学学科/专业方向、医学管理等领域</w:t>
      </w:r>
      <w:r>
        <w:rPr>
          <w:rFonts w:hint="eastAsia" w:ascii="仿宋_GB2312" w:hAnsi="仿宋_GB2312" w:eastAsia="仿宋_GB2312" w:cs="仿宋_GB2312"/>
          <w:color w:val="000000"/>
          <w:sz w:val="32"/>
          <w:szCs w:val="32"/>
        </w:rPr>
        <w:t>“读书荟”子项目为</w:t>
      </w:r>
      <w:r>
        <w:rPr>
          <w:rFonts w:hint="eastAsia" w:ascii="仿宋_GB2312" w:hAnsi="仿宋_GB2312" w:eastAsia="仿宋_GB2312" w:cs="仿宋_GB2312"/>
          <w:color w:val="000000"/>
          <w:sz w:val="32"/>
          <w:szCs w:val="32"/>
          <w:lang w:val="en-US" w:eastAsia="zh-CN"/>
        </w:rPr>
        <w:t>集合的</w:t>
      </w:r>
      <w:r>
        <w:rPr>
          <w:rFonts w:hint="eastAsia" w:ascii="仿宋_GB2312" w:hAnsi="仿宋_GB2312" w:eastAsia="仿宋_GB2312" w:cs="仿宋_GB2312"/>
          <w:color w:val="000000"/>
          <w:sz w:val="32"/>
          <w:szCs w:val="32"/>
        </w:rPr>
        <w:t>全域性、系统化、可持续的医学知识赋能公益平台，覆盖多疾病领域、多层级医生（从住院医师到主任医师）、多应用场景（临床、教学、科研、科普）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建成基金会主导的开放式医学知识共创生态</w:t>
      </w:r>
      <w:r>
        <w:rPr>
          <w:rFonts w:hint="eastAsia" w:ascii="仿宋_GB2312" w:hAnsi="仿宋_GB2312" w:eastAsia="仿宋_GB2312" w:cs="仿宋_GB2312"/>
          <w:color w:val="auto"/>
          <w:sz w:val="32"/>
          <w:szCs w:val="32"/>
          <w:highlight w:val="none"/>
          <w:lang w:val="en-US" w:eastAsia="zh-CN"/>
        </w:rPr>
        <w:t>。目标包括：</w:t>
      </w:r>
    </w:p>
    <w:p w14:paraId="5A1AA5E3">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——建成覆盖10+重点领域的非营利性医学文献述评数据库；</w:t>
      </w:r>
    </w:p>
    <w:p w14:paraId="6505D45F">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——实现全国1000名以上医生注册认证；</w:t>
      </w:r>
    </w:p>
    <w:p w14:paraId="00624EE0">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——打造集“内容投稿—专家评审—学术直播—科普转化”于一体的专属数字平台；</w:t>
      </w:r>
    </w:p>
    <w:p w14:paraId="4B884B49">
      <w:pPr>
        <w:widowControl/>
        <w:snapToGrid w:val="0"/>
        <w:spacing w:line="60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——支持线上线下学术会议50场以上。</w:t>
      </w:r>
    </w:p>
    <w:p w14:paraId="19576320">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color w:val="auto"/>
          <w:sz w:val="32"/>
          <w:szCs w:val="32"/>
          <w:highlight w:val="none"/>
          <w:lang w:val="en-US" w:eastAsia="zh-CN"/>
        </w:rPr>
        <w:t>为保障平台高效运行，现拟通过公开比选方式，择优选择一家第三方技术服务商，提供定制化平台开发、系统部署、数据安全及运营支持服务。本次采购采用满足采购需求的情况下按服务单项报价、报价综合得分最高者（最低价）中选的原则进行评审。</w:t>
      </w:r>
      <w:r>
        <w:rPr>
          <w:rFonts w:hint="eastAsia" w:ascii="仿宋_GB2312" w:hAnsi="仿宋_GB2312" w:eastAsia="仿宋_GB2312" w:cs="仿宋_GB2312"/>
          <w:color w:val="auto"/>
          <w:sz w:val="32"/>
          <w:szCs w:val="32"/>
          <w:highlight w:val="none"/>
        </w:rPr>
        <w:t>潜在</w:t>
      </w:r>
      <w:r>
        <w:rPr>
          <w:rFonts w:hint="eastAsia" w:ascii="仿宋_GB2312" w:hAnsi="仿宋_GB2312" w:eastAsia="仿宋_GB2312" w:cs="仿宋_GB2312"/>
          <w:color w:val="auto"/>
          <w:sz w:val="32"/>
          <w:szCs w:val="32"/>
          <w:highlight w:val="none"/>
          <w:lang w:val="en-US" w:eastAsia="zh-CN"/>
        </w:rPr>
        <w:t>竞选</w:t>
      </w:r>
      <w:r>
        <w:rPr>
          <w:rFonts w:hint="eastAsia" w:ascii="仿宋_GB2312" w:hAnsi="仿宋_GB2312" w:eastAsia="仿宋_GB2312" w:cs="仿宋_GB2312"/>
          <w:color w:val="auto"/>
          <w:sz w:val="32"/>
          <w:szCs w:val="32"/>
          <w:highlight w:val="none"/>
        </w:rPr>
        <w:t>人应</w:t>
      </w:r>
      <w:r>
        <w:rPr>
          <w:rFonts w:hint="eastAsia" w:ascii="仿宋_GB2312" w:hAnsi="仿宋_GB2312" w:eastAsia="仿宋_GB2312" w:cs="仿宋_GB2312"/>
          <w:color w:val="auto"/>
          <w:sz w:val="32"/>
          <w:szCs w:val="32"/>
          <w:highlight w:val="none"/>
          <w:lang w:val="en-US" w:eastAsia="zh-CN"/>
        </w:rPr>
        <w:t>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11</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10</w:t>
      </w:r>
      <w:r>
        <w:rPr>
          <w:rFonts w:hint="eastAsia" w:ascii="仿宋_GB2312" w:hAnsi="仿宋_GB2312" w:eastAsia="仿宋_GB2312" w:cs="仿宋_GB2312"/>
          <w:bCs/>
          <w:color w:val="auto"/>
          <w:sz w:val="32"/>
          <w:szCs w:val="32"/>
          <w:highlight w:val="none"/>
          <w:u w:val="single"/>
        </w:rPr>
        <w:t>日</w:t>
      </w:r>
      <w:r>
        <w:rPr>
          <w:rFonts w:hint="eastAsia" w:ascii="仿宋_GB2312" w:hAnsi="仿宋_GB2312" w:eastAsia="仿宋_GB2312" w:cs="仿宋_GB2312"/>
          <w:bCs/>
          <w:color w:val="auto"/>
          <w:sz w:val="32"/>
          <w:szCs w:val="32"/>
          <w:highlight w:val="none"/>
          <w:u w:val="single"/>
          <w:lang w:val="en-US" w:eastAsia="zh-CN"/>
        </w:rPr>
        <w:t>前从</w:t>
      </w:r>
      <w:r>
        <w:rPr>
          <w:rFonts w:hint="eastAsia" w:ascii="仿宋_GB2312" w:hAnsi="仿宋_GB2312" w:eastAsia="仿宋_GB2312" w:cs="仿宋_GB2312"/>
          <w:color w:val="auto"/>
          <w:sz w:val="32"/>
          <w:szCs w:val="32"/>
          <w:highlight w:val="none"/>
          <w:u w:val="single"/>
          <w:lang w:val="en-US" w:eastAsia="zh-CN"/>
        </w:rPr>
        <w:t>四川省健康促进基金会官网</w:t>
      </w:r>
      <w:r>
        <w:rPr>
          <w:rFonts w:hint="eastAsia" w:ascii="仿宋_GB2312" w:hAnsi="仿宋_GB2312" w:eastAsia="仿宋_GB2312" w:cs="仿宋_GB2312"/>
          <w:color w:val="auto"/>
          <w:sz w:val="32"/>
          <w:szCs w:val="32"/>
          <w:highlight w:val="none"/>
        </w:rPr>
        <w:t>获取</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文件，并于</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11</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17</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u w:val="none"/>
        </w:rPr>
        <w:t>（</w:t>
      </w:r>
      <w:r>
        <w:rPr>
          <w:rFonts w:hint="eastAsia" w:ascii="仿宋_GB2312" w:hAnsi="仿宋_GB2312" w:eastAsia="仿宋_GB2312" w:cs="仿宋_GB2312"/>
          <w:bCs/>
          <w:color w:val="auto"/>
          <w:sz w:val="32"/>
          <w:szCs w:val="32"/>
          <w:highlight w:val="none"/>
        </w:rPr>
        <w:t>北京时间）前递交</w:t>
      </w:r>
      <w:r>
        <w:rPr>
          <w:rFonts w:hint="eastAsia" w:ascii="仿宋_GB2312" w:hAnsi="仿宋_GB2312" w:eastAsia="仿宋_GB2312" w:cs="仿宋_GB2312"/>
          <w:bCs/>
          <w:color w:val="auto"/>
          <w:sz w:val="32"/>
          <w:szCs w:val="32"/>
          <w:highlight w:val="none"/>
          <w:lang w:val="en-US" w:eastAsia="zh-CN"/>
        </w:rPr>
        <w:t>竞选</w:t>
      </w:r>
      <w:r>
        <w:rPr>
          <w:rFonts w:hint="eastAsia" w:ascii="仿宋_GB2312" w:hAnsi="仿宋_GB2312" w:eastAsia="仿宋_GB2312" w:cs="仿宋_GB2312"/>
          <w:bCs/>
          <w:color w:val="auto"/>
          <w:sz w:val="32"/>
          <w:szCs w:val="32"/>
          <w:highlight w:val="none"/>
        </w:rPr>
        <w:t>文件。</w:t>
      </w:r>
    </w:p>
    <w:p w14:paraId="0C35D334">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二、项目基本情况</w:t>
      </w:r>
      <w:bookmarkEnd w:id="0"/>
      <w:bookmarkEnd w:id="1"/>
      <w:bookmarkEnd w:id="2"/>
      <w:bookmarkEnd w:id="3"/>
    </w:p>
    <w:p w14:paraId="4F7A53A1">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项目名称：健知汇·医学知识赋能工程第三方数字化平台与运营服务供应商采购</w:t>
      </w:r>
    </w:p>
    <w:bookmarkEnd w:id="4"/>
    <w:p w14:paraId="7DA3BDD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采购需求：详见</w:t>
      </w:r>
      <w:r>
        <w:rPr>
          <w:rFonts w:hint="eastAsia" w:ascii="仿宋_GB2312" w:hAnsi="仿宋_GB2312" w:eastAsia="仿宋_GB2312" w:cs="仿宋_GB2312"/>
          <w:sz w:val="32"/>
          <w:szCs w:val="32"/>
          <w:lang w:val="en-US" w:eastAsia="zh-CN"/>
        </w:rPr>
        <w:t>比选文件</w:t>
      </w:r>
      <w:r>
        <w:rPr>
          <w:rFonts w:hint="eastAsia" w:ascii="仿宋_GB2312" w:hAnsi="仿宋_GB2312" w:eastAsia="仿宋_GB2312" w:cs="仿宋_GB2312"/>
          <w:sz w:val="32"/>
          <w:szCs w:val="32"/>
        </w:rPr>
        <w:t>。</w:t>
      </w:r>
    </w:p>
    <w:p w14:paraId="09FA6FB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color w:val="auto"/>
          <w:sz w:val="32"/>
          <w:szCs w:val="32"/>
          <w:u w:val="single"/>
          <w:lang w:val="en-US"/>
        </w:rPr>
      </w:pPr>
      <w:r>
        <w:rPr>
          <w:rFonts w:hint="eastAsia" w:ascii="仿宋_GB2312" w:hAnsi="仿宋_GB2312" w:eastAsia="仿宋_GB2312" w:cs="仿宋_GB2312"/>
          <w:sz w:val="32"/>
          <w:szCs w:val="32"/>
        </w:rPr>
        <w:t>合同履行期限 ：2025年11月至2027年12月</w:t>
      </w:r>
    </w:p>
    <w:p w14:paraId="6FC452A1">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黑体" w:hAnsi="黑体" w:eastAsia="黑体" w:cs="黑体"/>
          <w:sz w:val="32"/>
          <w:szCs w:val="32"/>
          <w:lang w:val="en-US" w:eastAsia="zh-CN"/>
        </w:rPr>
      </w:pPr>
      <w:bookmarkStart w:id="5" w:name="_Toc35393622"/>
      <w:bookmarkStart w:id="6" w:name="_Toc28359003"/>
      <w:bookmarkStart w:id="7" w:name="_Toc28359080"/>
      <w:bookmarkStart w:id="8" w:name="_Toc35393791"/>
      <w:r>
        <w:rPr>
          <w:rFonts w:hint="eastAsia" w:ascii="黑体" w:hAnsi="黑体" w:eastAsia="黑体" w:cs="黑体"/>
          <w:sz w:val="32"/>
          <w:szCs w:val="32"/>
          <w:lang w:val="en-US" w:eastAsia="zh-CN"/>
        </w:rPr>
        <w:t>三、竞选人资格要求：</w:t>
      </w:r>
      <w:bookmarkEnd w:id="5"/>
      <w:bookmarkEnd w:id="6"/>
      <w:bookmarkEnd w:id="7"/>
      <w:bookmarkEnd w:id="8"/>
    </w:p>
    <w:p w14:paraId="5B1F3B1A">
      <w:pPr>
        <w:keepNext w:val="0"/>
        <w:keepLines w:val="0"/>
        <w:pageBreakBefore w:val="0"/>
        <w:widowControl/>
        <w:shd w:val="clear" w:color="auto" w:fill="FFFFFF"/>
        <w:kinsoku/>
        <w:wordWrap/>
        <w:overflowPunct/>
        <w:topLinePunct w:val="0"/>
        <w:autoSpaceDE/>
        <w:autoSpaceDN/>
        <w:bidi w:val="0"/>
        <w:adjustRightInd/>
        <w:spacing w:line="500" w:lineRule="exact"/>
        <w:ind w:firstLine="560"/>
        <w:jc w:val="left"/>
        <w:textAlignment w:val="auto"/>
        <w:rPr>
          <w:rFonts w:hint="eastAsia" w:ascii="仿宋_GB2312" w:hAnsi="仿宋_GB2312" w:eastAsia="仿宋_GB2312" w:cs="仿宋_GB2312"/>
          <w:sz w:val="32"/>
          <w:szCs w:val="32"/>
          <w:lang w:val="en-US" w:eastAsia="zh-CN"/>
        </w:rPr>
      </w:pPr>
      <w:bookmarkStart w:id="9" w:name="_Toc28359004"/>
      <w:bookmarkStart w:id="10" w:name="_Toc28359081"/>
      <w:r>
        <w:rPr>
          <w:rFonts w:hint="eastAsia" w:ascii="仿宋_GB2312" w:hAnsi="仿宋_GB2312" w:eastAsia="仿宋_GB2312" w:cs="仿宋_GB2312"/>
          <w:sz w:val="32"/>
          <w:szCs w:val="32"/>
          <w:lang w:val="en-US" w:eastAsia="zh-CN"/>
        </w:rPr>
        <w:t>（一）具有独立法人资格，持有有效的营业执照，经营范围包含软件开发、信息技术服务或互联网医疗相关内容；</w:t>
      </w:r>
    </w:p>
    <w:p w14:paraId="6A56FFDD">
      <w:pPr>
        <w:keepNext w:val="0"/>
        <w:keepLines w:val="0"/>
        <w:pageBreakBefore w:val="0"/>
        <w:widowControl/>
        <w:shd w:val="clear" w:color="auto" w:fill="FFFFFF"/>
        <w:kinsoku/>
        <w:wordWrap/>
        <w:overflowPunct/>
        <w:topLinePunct w:val="0"/>
        <w:autoSpaceDE/>
        <w:autoSpaceDN/>
        <w:bidi w:val="0"/>
        <w:adjustRightInd/>
        <w:spacing w:line="500" w:lineRule="exact"/>
        <w:ind w:firstLine="56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（二）近三年内无重大违法记录，未被列入政府采购严重违法失信名单</w:t>
      </w:r>
    </w:p>
    <w:p w14:paraId="571DA455">
      <w:pPr>
        <w:keepNext w:val="0"/>
        <w:keepLines w:val="0"/>
        <w:pageBreakBefore w:val="0"/>
        <w:widowControl/>
        <w:shd w:val="clear" w:color="auto" w:fill="FFFFFF"/>
        <w:kinsoku/>
        <w:wordWrap/>
        <w:overflowPunct/>
        <w:topLinePunct w:val="0"/>
        <w:autoSpaceDE/>
        <w:autoSpaceDN/>
        <w:bidi w:val="0"/>
        <w:adjustRightInd/>
        <w:spacing w:line="500" w:lineRule="exact"/>
        <w:ind w:firstLine="56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（三）具有履行合</w:t>
      </w:r>
      <w:r>
        <w:rPr>
          <w:rFonts w:hint="eastAsia" w:ascii="仿宋_GB2312" w:hAnsi="仿宋_GB2312" w:eastAsia="仿宋_GB2312" w:cs="仿宋_GB2312"/>
          <w:sz w:val="32"/>
          <w:szCs w:val="32"/>
          <w:u w:val="none"/>
          <w:lang w:val="en-US" w:eastAsia="zh-CN"/>
        </w:rPr>
        <w:t>同所必须的</w:t>
      </w:r>
      <w:r>
        <w:rPr>
          <w:rFonts w:hint="eastAsia" w:ascii="仿宋_GB2312" w:hAnsi="仿宋_GB2312" w:eastAsia="仿宋_GB2312" w:cs="仿宋_GB2312"/>
          <w:sz w:val="32"/>
          <w:szCs w:val="32"/>
          <w:lang w:val="en-US" w:eastAsia="zh-CN"/>
        </w:rPr>
        <w:t>设备和专业技术能力；</w:t>
      </w:r>
    </w:p>
    <w:p w14:paraId="70F73490">
      <w:pPr>
        <w:keepNext w:val="0"/>
        <w:keepLines w:val="0"/>
        <w:pageBreakBefore w:val="0"/>
        <w:widowControl/>
        <w:shd w:val="clear" w:color="auto" w:fill="FFFFFF"/>
        <w:kinsoku/>
        <w:wordWrap/>
        <w:overflowPunct/>
        <w:topLinePunct w:val="0"/>
        <w:autoSpaceDE/>
        <w:autoSpaceDN/>
        <w:bidi w:val="0"/>
        <w:adjustRightInd/>
        <w:spacing w:line="500" w:lineRule="exact"/>
        <w:ind w:firstLine="56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（四）符合法律、行政法规规定的其他条件；</w:t>
      </w:r>
    </w:p>
    <w:p w14:paraId="4F4A7A98">
      <w:pPr>
        <w:keepNext w:val="0"/>
        <w:keepLines w:val="0"/>
        <w:pageBreakBefore w:val="0"/>
        <w:widowControl/>
        <w:shd w:val="clear" w:color="auto" w:fill="FFFFFF"/>
        <w:kinsoku/>
        <w:wordWrap/>
        <w:overflowPunct/>
        <w:topLinePunct w:val="0"/>
        <w:autoSpaceDE/>
        <w:autoSpaceDN/>
        <w:bidi w:val="0"/>
        <w:adjustRightInd/>
        <w:spacing w:line="500" w:lineRule="exact"/>
        <w:ind w:firstLine="56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（五）不接受联合体比选申请。</w:t>
      </w:r>
    </w:p>
    <w:p w14:paraId="1DC35D06">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黑体" w:hAnsi="黑体" w:eastAsia="黑体" w:cs="黑体"/>
          <w:sz w:val="32"/>
          <w:szCs w:val="32"/>
          <w:lang w:val="en-US" w:eastAsia="zh-CN"/>
        </w:rPr>
      </w:pPr>
      <w:bookmarkStart w:id="11" w:name="_Toc35393792"/>
      <w:bookmarkStart w:id="12" w:name="_Toc35393623"/>
      <w:r>
        <w:rPr>
          <w:rFonts w:hint="eastAsia" w:ascii="黑体" w:hAnsi="黑体" w:eastAsia="黑体" w:cs="黑体"/>
          <w:sz w:val="32"/>
          <w:szCs w:val="32"/>
          <w:lang w:val="en-US" w:eastAsia="zh-CN"/>
        </w:rPr>
        <w:t>四、获取比选文件</w:t>
      </w:r>
      <w:bookmarkEnd w:id="9"/>
      <w:bookmarkEnd w:id="10"/>
      <w:bookmarkEnd w:id="11"/>
      <w:bookmarkEnd w:id="12"/>
    </w:p>
    <w:p w14:paraId="774BDA4A">
      <w:pPr>
        <w:keepNext w:val="0"/>
        <w:keepLines w:val="0"/>
        <w:pageBreakBefore w:val="0"/>
        <w:kinsoku/>
        <w:wordWrap/>
        <w:overflowPunct/>
        <w:topLinePunct w:val="0"/>
        <w:autoSpaceDE/>
        <w:autoSpaceDN/>
        <w:bidi w:val="0"/>
        <w:adjustRightInd/>
        <w:spacing w:line="500" w:lineRule="exact"/>
        <w:ind w:firstLine="5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时间：</w:t>
      </w:r>
      <w:r>
        <w:rPr>
          <w:rFonts w:hint="eastAsia" w:ascii="仿宋_GB2312" w:hAnsi="仿宋_GB2312" w:eastAsia="仿宋_GB2312" w:cs="仿宋_GB2312"/>
          <w:sz w:val="32"/>
          <w:szCs w:val="32"/>
          <w:u w:val="single"/>
        </w:rPr>
        <w:t>202</w:t>
      </w:r>
      <w:r>
        <w:rPr>
          <w:rFonts w:hint="eastAsia" w:ascii="仿宋_GB2312" w:hAnsi="仿宋_GB2312" w:eastAsia="仿宋_GB2312" w:cs="仿宋_GB2312"/>
          <w:sz w:val="32"/>
          <w:szCs w:val="32"/>
          <w:u w:val="single"/>
          <w:lang w:val="en-US" w:eastAsia="zh-CN"/>
        </w:rPr>
        <w:t>5</w:t>
      </w:r>
      <w:r>
        <w:rPr>
          <w:rFonts w:hint="eastAsia" w:ascii="仿宋_GB2312" w:hAnsi="仿宋_GB2312" w:eastAsia="仿宋_GB2312" w:cs="仿宋_GB2312"/>
          <w:sz w:val="32"/>
          <w:szCs w:val="32"/>
          <w:u w:val="single"/>
        </w:rPr>
        <w:t>年</w:t>
      </w:r>
      <w:r>
        <w:rPr>
          <w:rFonts w:hint="eastAsia" w:ascii="仿宋_GB2312" w:hAnsi="仿宋_GB2312" w:eastAsia="仿宋_GB2312" w:cs="仿宋_GB2312"/>
          <w:sz w:val="32"/>
          <w:szCs w:val="32"/>
          <w:u w:val="single"/>
          <w:lang w:val="en-US" w:eastAsia="zh-CN"/>
        </w:rPr>
        <w:t>11</w:t>
      </w:r>
      <w:r>
        <w:rPr>
          <w:rFonts w:hint="eastAsia" w:ascii="仿宋_GB2312" w:hAnsi="仿宋_GB2312" w:eastAsia="仿宋_GB2312" w:cs="仿宋_GB2312"/>
          <w:sz w:val="32"/>
          <w:szCs w:val="32"/>
          <w:u w:val="single"/>
        </w:rPr>
        <w:t>月</w:t>
      </w:r>
      <w:r>
        <w:rPr>
          <w:rFonts w:hint="eastAsia" w:ascii="仿宋_GB2312" w:hAnsi="仿宋_GB2312" w:eastAsia="仿宋_GB2312" w:cs="仿宋_GB2312"/>
          <w:sz w:val="32"/>
          <w:szCs w:val="32"/>
          <w:u w:val="single"/>
          <w:lang w:val="en-US" w:eastAsia="zh-CN"/>
        </w:rPr>
        <w:t>3</w:t>
      </w:r>
      <w:r>
        <w:rPr>
          <w:rFonts w:hint="eastAsia" w:ascii="仿宋_GB2312" w:hAnsi="仿宋_GB2312" w:eastAsia="仿宋_GB2312" w:cs="仿宋_GB2312"/>
          <w:sz w:val="32"/>
          <w:szCs w:val="32"/>
          <w:u w:val="single"/>
        </w:rPr>
        <w:t>日</w:t>
      </w:r>
      <w:r>
        <w:rPr>
          <w:rFonts w:hint="eastAsia" w:ascii="仿宋_GB2312" w:hAnsi="仿宋_GB2312" w:eastAsia="仿宋_GB2312" w:cs="仿宋_GB2312"/>
          <w:sz w:val="32"/>
          <w:szCs w:val="32"/>
        </w:rPr>
        <w:t>至</w:t>
      </w:r>
      <w:r>
        <w:rPr>
          <w:rFonts w:hint="eastAsia" w:ascii="仿宋_GB2312" w:hAnsi="仿宋_GB2312" w:eastAsia="仿宋_GB2312" w:cs="仿宋_GB2312"/>
          <w:sz w:val="32"/>
          <w:szCs w:val="32"/>
          <w:u w:val="single"/>
        </w:rPr>
        <w:t>202</w:t>
      </w:r>
      <w:r>
        <w:rPr>
          <w:rFonts w:hint="eastAsia" w:ascii="仿宋_GB2312" w:hAnsi="仿宋_GB2312" w:eastAsia="仿宋_GB2312" w:cs="仿宋_GB2312"/>
          <w:sz w:val="32"/>
          <w:szCs w:val="32"/>
          <w:u w:val="single"/>
          <w:lang w:val="en-US" w:eastAsia="zh-CN"/>
        </w:rPr>
        <w:t>5</w:t>
      </w:r>
      <w:r>
        <w:rPr>
          <w:rFonts w:hint="eastAsia" w:ascii="仿宋_GB2312" w:hAnsi="仿宋_GB2312" w:eastAsia="仿宋_GB2312" w:cs="仿宋_GB2312"/>
          <w:sz w:val="32"/>
          <w:szCs w:val="32"/>
          <w:u w:val="single"/>
        </w:rPr>
        <w:t>年</w:t>
      </w:r>
      <w:r>
        <w:rPr>
          <w:rFonts w:hint="eastAsia" w:ascii="仿宋_GB2312" w:hAnsi="仿宋_GB2312" w:eastAsia="仿宋_GB2312" w:cs="仿宋_GB2312"/>
          <w:sz w:val="32"/>
          <w:szCs w:val="32"/>
          <w:u w:val="single"/>
          <w:lang w:val="en-US" w:eastAsia="zh-CN"/>
        </w:rPr>
        <w:t>11</w:t>
      </w:r>
      <w:r>
        <w:rPr>
          <w:rFonts w:hint="eastAsia" w:ascii="仿宋_GB2312" w:hAnsi="仿宋_GB2312" w:eastAsia="仿宋_GB2312" w:cs="仿宋_GB2312"/>
          <w:sz w:val="32"/>
          <w:szCs w:val="32"/>
          <w:u w:val="single"/>
        </w:rPr>
        <w:t>月</w:t>
      </w:r>
      <w:r>
        <w:rPr>
          <w:rFonts w:hint="eastAsia" w:ascii="仿宋_GB2312" w:hAnsi="仿宋_GB2312" w:eastAsia="仿宋_GB2312" w:cs="仿宋_GB2312"/>
          <w:sz w:val="32"/>
          <w:szCs w:val="32"/>
          <w:u w:val="single"/>
          <w:lang w:val="en-US" w:eastAsia="zh-CN"/>
        </w:rPr>
        <w:t>10</w:t>
      </w:r>
      <w:r>
        <w:rPr>
          <w:rFonts w:hint="eastAsia" w:ascii="仿宋_GB2312" w:hAnsi="仿宋_GB2312" w:eastAsia="仿宋_GB2312" w:cs="仿宋_GB2312"/>
          <w:sz w:val="32"/>
          <w:szCs w:val="32"/>
          <w:u w:val="single"/>
        </w:rPr>
        <w:t>日</w:t>
      </w:r>
      <w:r>
        <w:rPr>
          <w:rFonts w:hint="eastAsia" w:ascii="仿宋_GB2312" w:hAnsi="仿宋_GB2312" w:eastAsia="仿宋_GB2312" w:cs="仿宋_GB2312"/>
          <w:sz w:val="32"/>
          <w:szCs w:val="32"/>
          <w:lang w:val="en-US" w:eastAsia="zh-CN"/>
        </w:rPr>
        <w:t>全天</w:t>
      </w:r>
    </w:p>
    <w:p w14:paraId="11986CAD">
      <w:pPr>
        <w:keepNext w:val="0"/>
        <w:keepLines w:val="0"/>
        <w:pageBreakBefore w:val="0"/>
        <w:kinsoku/>
        <w:wordWrap/>
        <w:overflowPunct/>
        <w:topLinePunct w:val="0"/>
        <w:autoSpaceDE/>
        <w:autoSpaceDN/>
        <w:bidi w:val="0"/>
        <w:adjustRightInd/>
        <w:spacing w:line="500" w:lineRule="exact"/>
        <w:ind w:firstLine="54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地点：</w:t>
      </w:r>
      <w:r>
        <w:rPr>
          <w:rFonts w:hint="eastAsia" w:ascii="仿宋_GB2312" w:hAnsi="仿宋_GB2312" w:eastAsia="仿宋_GB2312" w:cs="仿宋_GB2312"/>
          <w:sz w:val="32"/>
          <w:szCs w:val="32"/>
          <w:lang w:val="en-US" w:eastAsia="zh-CN"/>
        </w:rPr>
        <w:t>从四川省健康促进基金会官网免费下载</w:t>
      </w:r>
      <w:r>
        <w:rPr>
          <w:rFonts w:hint="eastAsia" w:ascii="仿宋_GB2312" w:hAnsi="仿宋_GB2312" w:eastAsia="仿宋_GB2312" w:cs="仿宋_GB2312"/>
          <w:sz w:val="32"/>
          <w:szCs w:val="32"/>
          <w:lang w:eastAsia="zh-CN"/>
        </w:rPr>
        <w:t>。</w:t>
      </w:r>
    </w:p>
    <w:p w14:paraId="7116BA20">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黑体" w:hAnsi="黑体" w:eastAsia="黑体" w:cs="黑体"/>
          <w:sz w:val="32"/>
          <w:szCs w:val="32"/>
          <w:lang w:val="en-US" w:eastAsia="zh-CN"/>
        </w:rPr>
      </w:pPr>
      <w:bookmarkStart w:id="13" w:name="_Toc28359082"/>
      <w:bookmarkStart w:id="14" w:name="_Toc28359005"/>
      <w:bookmarkStart w:id="15" w:name="_Toc35393793"/>
      <w:bookmarkStart w:id="16" w:name="_Toc35393624"/>
      <w:r>
        <w:rPr>
          <w:rFonts w:hint="eastAsia" w:ascii="黑体" w:hAnsi="黑体" w:eastAsia="黑体" w:cs="黑体"/>
          <w:sz w:val="32"/>
          <w:szCs w:val="32"/>
          <w:lang w:val="en-US" w:eastAsia="zh-CN"/>
        </w:rPr>
        <w:t>五、提交竞选文件</w:t>
      </w:r>
      <w:bookmarkEnd w:id="13"/>
      <w:bookmarkEnd w:id="14"/>
      <w:r>
        <w:rPr>
          <w:rFonts w:hint="eastAsia" w:ascii="黑体" w:hAnsi="黑体" w:eastAsia="黑体" w:cs="黑体"/>
          <w:sz w:val="32"/>
          <w:szCs w:val="32"/>
          <w:lang w:val="en-US" w:eastAsia="zh-CN"/>
        </w:rPr>
        <w:t>截止时间、比选时间和地点</w:t>
      </w:r>
      <w:bookmarkEnd w:id="15"/>
      <w:bookmarkEnd w:id="16"/>
    </w:p>
    <w:p w14:paraId="0B371A7F">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eastAsia" w:ascii="仿宋_GB2312" w:hAnsi="仿宋_GB2312" w:eastAsia="仿宋_GB2312" w:cs="仿宋_GB2312"/>
          <w:bCs/>
          <w:sz w:val="32"/>
          <w:szCs w:val="32"/>
          <w:u w:val="single"/>
          <w:lang w:val="en-US" w:eastAsia="zh-CN"/>
        </w:rPr>
      </w:pPr>
      <w:r>
        <w:rPr>
          <w:rFonts w:hint="eastAsia" w:ascii="仿宋_GB2312" w:hAnsi="仿宋_GB2312" w:eastAsia="仿宋_GB2312" w:cs="仿宋_GB2312"/>
          <w:sz w:val="32"/>
          <w:szCs w:val="32"/>
        </w:rPr>
        <w:t>截止时间、</w:t>
      </w:r>
      <w:r>
        <w:rPr>
          <w:rFonts w:hint="eastAsia" w:ascii="仿宋_GB2312" w:hAnsi="仿宋_GB2312" w:eastAsia="仿宋_GB2312" w:cs="仿宋_GB2312"/>
          <w:sz w:val="32"/>
          <w:szCs w:val="32"/>
          <w:lang w:val="en-US" w:eastAsia="zh-CN"/>
        </w:rPr>
        <w:t>比选</w:t>
      </w:r>
      <w:r>
        <w:rPr>
          <w:rFonts w:hint="eastAsia" w:ascii="仿宋_GB2312" w:hAnsi="仿宋_GB2312" w:eastAsia="仿宋_GB2312" w:cs="仿宋_GB2312"/>
          <w:sz w:val="32"/>
          <w:szCs w:val="32"/>
        </w:rPr>
        <w:t>时间：</w:t>
      </w:r>
      <w:r>
        <w:rPr>
          <w:rFonts w:hint="eastAsia" w:ascii="仿宋_GB2312" w:hAnsi="仿宋_GB2312" w:eastAsia="仿宋_GB2312" w:cs="仿宋_GB2312"/>
          <w:bCs/>
          <w:sz w:val="32"/>
          <w:szCs w:val="32"/>
          <w:u w:val="single"/>
        </w:rPr>
        <w:t>202</w:t>
      </w:r>
      <w:r>
        <w:rPr>
          <w:rFonts w:hint="eastAsia" w:ascii="仿宋_GB2312" w:hAnsi="仿宋_GB2312" w:eastAsia="仿宋_GB2312" w:cs="仿宋_GB2312"/>
          <w:bCs/>
          <w:sz w:val="32"/>
          <w:szCs w:val="32"/>
          <w:u w:val="single"/>
          <w:lang w:val="en-US" w:eastAsia="zh-CN"/>
        </w:rPr>
        <w:t>5</w:t>
      </w:r>
      <w:r>
        <w:rPr>
          <w:rFonts w:hint="eastAsia" w:ascii="仿宋_GB2312" w:hAnsi="仿宋_GB2312" w:eastAsia="仿宋_GB2312" w:cs="仿宋_GB2312"/>
          <w:bCs/>
          <w:sz w:val="32"/>
          <w:szCs w:val="32"/>
          <w:u w:val="single"/>
        </w:rPr>
        <w:t>年</w:t>
      </w:r>
      <w:r>
        <w:rPr>
          <w:rFonts w:hint="eastAsia" w:ascii="仿宋_GB2312" w:hAnsi="仿宋_GB2312" w:eastAsia="仿宋_GB2312" w:cs="仿宋_GB2312"/>
          <w:bCs/>
          <w:sz w:val="32"/>
          <w:szCs w:val="32"/>
          <w:u w:val="single"/>
          <w:lang w:val="en-US" w:eastAsia="zh-CN"/>
        </w:rPr>
        <w:t>11</w:t>
      </w:r>
      <w:r>
        <w:rPr>
          <w:rFonts w:hint="eastAsia" w:ascii="仿宋_GB2312" w:hAnsi="仿宋_GB2312" w:eastAsia="仿宋_GB2312" w:cs="仿宋_GB2312"/>
          <w:bCs/>
          <w:sz w:val="32"/>
          <w:szCs w:val="32"/>
          <w:u w:val="single"/>
        </w:rPr>
        <w:t>月</w:t>
      </w:r>
      <w:r>
        <w:rPr>
          <w:rFonts w:hint="eastAsia" w:ascii="仿宋_GB2312" w:hAnsi="仿宋_GB2312" w:eastAsia="仿宋_GB2312" w:cs="仿宋_GB2312"/>
          <w:bCs/>
          <w:sz w:val="32"/>
          <w:szCs w:val="32"/>
          <w:u w:val="single"/>
          <w:lang w:val="en-US" w:eastAsia="zh-CN"/>
        </w:rPr>
        <w:t>17</w:t>
      </w:r>
      <w:r>
        <w:rPr>
          <w:rFonts w:hint="eastAsia" w:ascii="仿宋_GB2312" w:hAnsi="仿宋_GB2312" w:eastAsia="仿宋_GB2312" w:cs="仿宋_GB2312"/>
          <w:bCs/>
          <w:sz w:val="32"/>
          <w:szCs w:val="32"/>
          <w:u w:val="single"/>
        </w:rPr>
        <w:t>日10点00分</w:t>
      </w:r>
      <w:r>
        <w:rPr>
          <w:rFonts w:hint="eastAsia" w:ascii="仿宋_GB2312" w:hAnsi="仿宋_GB2312" w:eastAsia="仿宋_GB2312" w:cs="仿宋_GB2312"/>
          <w:bCs/>
          <w:sz w:val="32"/>
          <w:szCs w:val="32"/>
        </w:rPr>
        <w:t>（北京时间）</w:t>
      </w:r>
    </w:p>
    <w:p w14:paraId="60130EF6">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比选</w:t>
      </w:r>
      <w:r>
        <w:rPr>
          <w:rFonts w:hint="eastAsia" w:ascii="仿宋_GB2312" w:hAnsi="仿宋_GB2312" w:eastAsia="仿宋_GB2312" w:cs="仿宋_GB2312"/>
          <w:sz w:val="32"/>
          <w:szCs w:val="32"/>
        </w:rPr>
        <w:t>地点：</w:t>
      </w:r>
      <w:r>
        <w:rPr>
          <w:rFonts w:hint="eastAsia" w:ascii="仿宋_GB2312" w:hAnsi="仿宋_GB2312" w:eastAsia="仿宋_GB2312" w:cs="仿宋_GB2312"/>
          <w:sz w:val="32"/>
          <w:szCs w:val="32"/>
          <w:u w:val="single"/>
        </w:rPr>
        <w:t>成都市青羊区金盾路52号国栋大厦</w:t>
      </w:r>
      <w:r>
        <w:rPr>
          <w:rFonts w:hint="eastAsia" w:ascii="仿宋_GB2312" w:hAnsi="仿宋_GB2312" w:eastAsia="仿宋_GB2312" w:cs="仿宋_GB2312"/>
          <w:sz w:val="32"/>
          <w:szCs w:val="32"/>
          <w:u w:val="single"/>
          <w:lang w:val="en-US" w:eastAsia="zh-CN"/>
        </w:rPr>
        <w:t>9</w:t>
      </w:r>
      <w:r>
        <w:rPr>
          <w:rFonts w:hint="eastAsia" w:ascii="仿宋_GB2312" w:hAnsi="仿宋_GB2312" w:eastAsia="仿宋_GB2312" w:cs="仿宋_GB2312"/>
          <w:sz w:val="32"/>
          <w:szCs w:val="32"/>
          <w:u w:val="single"/>
        </w:rPr>
        <w:t>楼</w:t>
      </w:r>
      <w:r>
        <w:rPr>
          <w:rFonts w:hint="eastAsia" w:ascii="仿宋_GB2312" w:hAnsi="仿宋_GB2312" w:eastAsia="仿宋_GB2312" w:cs="仿宋_GB2312"/>
          <w:sz w:val="32"/>
          <w:szCs w:val="32"/>
          <w:u w:val="single"/>
          <w:lang w:val="en-US" w:eastAsia="zh-CN"/>
        </w:rPr>
        <w:t>D</w:t>
      </w:r>
      <w:r>
        <w:rPr>
          <w:rFonts w:hint="eastAsia" w:ascii="仿宋_GB2312" w:hAnsi="仿宋_GB2312" w:eastAsia="仿宋_GB2312" w:cs="仿宋_GB2312"/>
          <w:sz w:val="32"/>
          <w:szCs w:val="32"/>
          <w:u w:val="single"/>
        </w:rPr>
        <w:t>座</w:t>
      </w:r>
    </w:p>
    <w:p w14:paraId="7246F6F7">
      <w:pPr>
        <w:keepNext w:val="0"/>
        <w:keepLines w:val="0"/>
        <w:pageBreakBefore w:val="0"/>
        <w:kinsoku/>
        <w:wordWrap/>
        <w:overflowPunct/>
        <w:topLinePunct w:val="0"/>
        <w:autoSpaceDE/>
        <w:autoSpaceDN/>
        <w:bidi w:val="0"/>
        <w:adjustRightInd/>
        <w:spacing w:line="50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比选申请文件必须在递交截止时间前送达指定地点，逾期送达或密封和标注不符合比选文件规定的比选申请文件恕不接受</w:t>
      </w:r>
    </w:p>
    <w:p w14:paraId="185E51D2">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六、联系方式</w:t>
      </w:r>
    </w:p>
    <w:p w14:paraId="63E05294">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比选人：</w:t>
      </w:r>
      <w:r>
        <w:rPr>
          <w:rFonts w:hint="eastAsia" w:ascii="仿宋_GB2312" w:hAnsi="仿宋_GB2312" w:eastAsia="仿宋_GB2312" w:cs="仿宋_GB2312"/>
          <w:sz w:val="32"/>
          <w:szCs w:val="32"/>
          <w:lang w:val="en-US" w:eastAsia="zh-CN"/>
        </w:rPr>
        <w:t>四川省健康促进基金会</w:t>
      </w:r>
    </w:p>
    <w:p w14:paraId="7B7F4924">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地址：成都市青羊区金盾路52号国栋大厦</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楼</w:t>
      </w:r>
      <w:r>
        <w:rPr>
          <w:rFonts w:hint="eastAsia" w:ascii="仿宋_GB2312" w:hAnsi="仿宋_GB2312" w:eastAsia="仿宋_GB2312" w:cs="仿宋_GB2312"/>
          <w:sz w:val="32"/>
          <w:szCs w:val="32"/>
          <w:lang w:val="en-US" w:eastAsia="zh-CN"/>
        </w:rPr>
        <w:t>D</w:t>
      </w:r>
      <w:r>
        <w:rPr>
          <w:rFonts w:hint="eastAsia" w:ascii="仿宋_GB2312" w:hAnsi="仿宋_GB2312" w:eastAsia="仿宋_GB2312" w:cs="仿宋_GB2312"/>
          <w:sz w:val="32"/>
          <w:szCs w:val="32"/>
        </w:rPr>
        <w:t>座</w:t>
      </w:r>
    </w:p>
    <w:p w14:paraId="09B6D769">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赖倩</w:t>
      </w:r>
    </w:p>
    <w:p w14:paraId="3D6C61B1">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 028-</w:t>
      </w:r>
      <w:r>
        <w:rPr>
          <w:rFonts w:hint="eastAsia" w:ascii="仿宋_GB2312" w:hAnsi="仿宋_GB2312" w:eastAsia="仿宋_GB2312" w:cs="仿宋_GB2312"/>
          <w:sz w:val="32"/>
          <w:szCs w:val="32"/>
          <w:lang w:val="en-US" w:eastAsia="zh-CN"/>
        </w:rPr>
        <w:t>87058129</w:t>
      </w:r>
    </w:p>
    <w:p w14:paraId="1A5BF280">
      <w:pPr>
        <w:keepNext w:val="0"/>
        <w:keepLines w:val="0"/>
        <w:pageBreakBefore w:val="0"/>
        <w:widowControl/>
        <w:kinsoku/>
        <w:wordWrap/>
        <w:overflowPunct/>
        <w:topLinePunct w:val="0"/>
        <w:autoSpaceDE/>
        <w:autoSpaceDN/>
        <w:bidi w:val="0"/>
        <w:adjustRightInd/>
        <w:snapToGrid w:val="0"/>
        <w:spacing w:line="500" w:lineRule="exact"/>
        <w:ind w:firstLine="640" w:firstLineChars="200"/>
        <w:textAlignment w:val="auto"/>
        <w:rPr>
          <w:rFonts w:hint="default" w:ascii="仿宋_GB2312" w:hAnsi="仿宋_GB2312" w:eastAsia="仿宋_GB2312" w:cs="仿宋_GB2312"/>
          <w:sz w:val="32"/>
          <w:szCs w:val="32"/>
          <w:lang w:val="en-US" w:eastAsia="zh-CN"/>
        </w:rPr>
      </w:pPr>
    </w:p>
    <w:p w14:paraId="504ED796">
      <w:pPr>
        <w:keepNext w:val="0"/>
        <w:keepLines w:val="0"/>
        <w:pageBreakBefore w:val="0"/>
        <w:widowControl/>
        <w:numPr>
          <w:ilvl w:val="0"/>
          <w:numId w:val="0"/>
        </w:numPr>
        <w:kinsoku/>
        <w:wordWrap/>
        <w:overflowPunct/>
        <w:topLinePunct w:val="0"/>
        <w:autoSpaceDE/>
        <w:autoSpaceDN/>
        <w:bidi w:val="0"/>
        <w:adjustRightInd/>
        <w:snapToGrid w:val="0"/>
        <w:spacing w:line="500" w:lineRule="exact"/>
        <w:ind w:left="1600" w:leftChars="320" w:hanging="960" w:hangingChars="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附件：健知汇·医学知识赋能工程第三方数字化平台与运维服务供应商采购比选文件</w:t>
      </w:r>
    </w:p>
    <w:p w14:paraId="56CCEA77">
      <w:pPr>
        <w:keepNext w:val="0"/>
        <w:keepLines w:val="0"/>
        <w:pageBreakBefore w:val="0"/>
        <w:widowControl/>
        <w:numPr>
          <w:ilvl w:val="0"/>
          <w:numId w:val="0"/>
        </w:numPr>
        <w:kinsoku/>
        <w:wordWrap/>
        <w:overflowPunct/>
        <w:topLinePunct w:val="0"/>
        <w:autoSpaceDE/>
        <w:autoSpaceDN/>
        <w:bidi w:val="0"/>
        <w:adjustRightInd/>
        <w:snapToGrid w:val="0"/>
        <w:spacing w:line="500" w:lineRule="exact"/>
        <w:ind w:left="1280" w:hanging="1280" w:hangingChars="400"/>
        <w:textAlignment w:val="auto"/>
        <w:rPr>
          <w:rFonts w:hint="eastAsia" w:ascii="仿宋_GB2312" w:hAnsi="仿宋_GB2312" w:eastAsia="仿宋_GB2312" w:cs="仿宋_GB2312"/>
          <w:sz w:val="32"/>
          <w:szCs w:val="32"/>
          <w:lang w:val="en-US" w:eastAsia="zh-CN"/>
        </w:rPr>
      </w:pPr>
    </w:p>
    <w:p w14:paraId="6EE871AD">
      <w:pPr>
        <w:keepNext w:val="0"/>
        <w:keepLines w:val="0"/>
        <w:pageBreakBefore w:val="0"/>
        <w:widowControl/>
        <w:numPr>
          <w:ilvl w:val="0"/>
          <w:numId w:val="0"/>
        </w:numPr>
        <w:kinsoku/>
        <w:wordWrap/>
        <w:overflowPunct/>
        <w:topLinePunct w:val="0"/>
        <w:autoSpaceDE/>
        <w:autoSpaceDN/>
        <w:bidi w:val="0"/>
        <w:adjustRightInd/>
        <w:snapToGrid w:val="0"/>
        <w:spacing w:line="500" w:lineRule="exact"/>
        <w:ind w:left="1280" w:hanging="1280" w:hangingChars="400"/>
        <w:textAlignment w:val="auto"/>
        <w:rPr>
          <w:rFonts w:hint="eastAsia" w:ascii="仿宋_GB2312" w:hAnsi="仿宋_GB2312" w:eastAsia="仿宋_GB2312" w:cs="仿宋_GB2312"/>
          <w:sz w:val="32"/>
          <w:szCs w:val="32"/>
          <w:lang w:val="en-US" w:eastAsia="zh-CN"/>
        </w:rPr>
      </w:pPr>
    </w:p>
    <w:p w14:paraId="0A57C20F">
      <w:pPr>
        <w:keepNext w:val="0"/>
        <w:keepLines w:val="0"/>
        <w:pageBreakBefore w:val="0"/>
        <w:widowControl w:val="0"/>
        <w:kinsoku/>
        <w:wordWrap w:val="0"/>
        <w:overflowPunct/>
        <w:topLinePunct w:val="0"/>
        <w:autoSpaceDE/>
        <w:autoSpaceDN/>
        <w:bidi w:val="0"/>
        <w:adjustRightInd/>
        <w:snapToGrid/>
        <w:spacing w:line="500" w:lineRule="exact"/>
        <w:jc w:val="righ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四川省健康促进基金会       </w:t>
      </w:r>
    </w:p>
    <w:p w14:paraId="7ECCD4C8">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2025年11月4</w:t>
      </w:r>
      <w:bookmarkStart w:id="17" w:name="_GoBack"/>
      <w:bookmarkEnd w:id="17"/>
      <w:r>
        <w:rPr>
          <w:rFonts w:hint="eastAsia" w:ascii="仿宋_GB2312" w:hAnsi="仿宋_GB2312" w:eastAsia="仿宋_GB2312" w:cs="仿宋_GB2312"/>
          <w:sz w:val="32"/>
          <w:szCs w:val="32"/>
          <w:lang w:val="en-US" w:eastAsia="zh-CN"/>
        </w:rPr>
        <w:t xml:space="preserve">日 </w:t>
      </w:r>
    </w:p>
    <w:p w14:paraId="0851738C"/>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47B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C1C066">
                          <w:pPr>
                            <w:pStyle w:val="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CC1C066">
                    <w:pPr>
                      <w:pStyle w:val="2"/>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7E5F74"/>
    <w:multiLevelType w:val="singleLevel"/>
    <w:tmpl w:val="897E5F7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DE7223"/>
    <w:rsid w:val="53DE7223"/>
    <w:rsid w:val="5D390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1021</Words>
  <Characters>1086</Characters>
  <Lines>0</Lines>
  <Paragraphs>0</Paragraphs>
  <TotalTime>10</TotalTime>
  <ScaleCrop>false</ScaleCrop>
  <LinksUpToDate>false</LinksUpToDate>
  <CharactersWithSpaces>1115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2025-12-04T04:44:00Z</dcterms:created>
  <dc:creator>LQ</dc:creator>
  <cp:lastModifiedBy>LQ</cp:lastModifiedBy>
  <dcterms:modified xsi:type="dcterms:W3CDTF">2026-01-05T01:38:58Z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B56984E6FDCB432CB2C9F99154E0D7ED_11</vt:lpwstr>
  </property>
  <property fmtid="{D5CDD505-2E9C-101B-9397-08002B2CF9AE}" pid="4" name="KSOTemplateDocerSaveRecord">
    <vt:lpwstr>eyJoZGlkIjoiNTNlM2Y5ZmRlZTFjMzUyNWU3YzFiZGJmZjczMTNjYjAiLCJ1c2VySWQiOiIxNDQ5NzU2MDg3In0=</vt:lpwstr>
  </property>
</Properties>
</file>