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B1C409">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附件</w:t>
      </w:r>
    </w:p>
    <w:p w14:paraId="4580AE1A">
      <w:pPr>
        <w:ind w:left="404" w:leftChars="202"/>
        <w:jc w:val="center"/>
        <w:rPr>
          <w:rFonts w:hint="default" w:ascii="方正小标宋_GBK" w:hAnsi="宋体" w:eastAsia="方正小标宋_GBK" w:cs="宋体"/>
          <w:color w:val="auto"/>
          <w:sz w:val="36"/>
          <w:szCs w:val="36"/>
          <w:highlight w:val="none"/>
          <w:lang w:val="en-US" w:eastAsia="zh-CN"/>
        </w:rPr>
      </w:pPr>
      <w:bookmarkStart w:id="0" w:name="_Toc56606569"/>
      <w:r>
        <w:rPr>
          <w:rFonts w:hint="eastAsia" w:ascii="方正小标宋_GBK" w:hAnsi="宋体" w:eastAsia="方正小标宋_GBK" w:cs="宋体"/>
          <w:color w:val="auto"/>
          <w:sz w:val="36"/>
          <w:szCs w:val="36"/>
          <w:highlight w:val="none"/>
          <w:lang w:val="en-US" w:eastAsia="zh-CN"/>
        </w:rPr>
        <w:t>四川省健康促进基金会</w:t>
      </w:r>
    </w:p>
    <w:p w14:paraId="49DB1771">
      <w:pPr>
        <w:ind w:left="404" w:leftChars="202"/>
        <w:jc w:val="center"/>
        <w:rPr>
          <w:rFonts w:hint="eastAsia" w:ascii="方正小标宋_GBK" w:hAnsi="宋体" w:eastAsia="方正小标宋_GBK" w:cs="宋体"/>
          <w:color w:val="auto"/>
          <w:sz w:val="36"/>
          <w:szCs w:val="36"/>
          <w:highlight w:val="none"/>
          <w:lang w:val="en-US" w:eastAsia="zh-CN"/>
        </w:rPr>
      </w:pPr>
      <w:r>
        <w:rPr>
          <w:rFonts w:hint="eastAsia" w:ascii="方正小标宋_GBK" w:hAnsi="宋体" w:eastAsia="方正小标宋_GBK" w:cs="宋体"/>
          <w:color w:val="auto"/>
          <w:sz w:val="36"/>
          <w:szCs w:val="36"/>
          <w:highlight w:val="none"/>
          <w:lang w:val="en-US" w:eastAsia="zh-CN"/>
        </w:rPr>
        <w:t>免疫性疾病规范化诊疗・网页投放</w:t>
      </w:r>
    </w:p>
    <w:p w14:paraId="37635A87">
      <w:pPr>
        <w:ind w:left="404" w:leftChars="202"/>
        <w:jc w:val="center"/>
        <w:rPr>
          <w:rFonts w:hint="eastAsia" w:ascii="方正小标宋_GBK" w:hAnsi="宋体" w:eastAsia="方正小标宋_GBK" w:cs="宋体"/>
          <w:color w:val="auto"/>
          <w:sz w:val="36"/>
          <w:szCs w:val="36"/>
          <w:highlight w:val="none"/>
          <w:lang w:val="en-US" w:eastAsia="zh-CN"/>
        </w:rPr>
      </w:pPr>
      <w:r>
        <w:rPr>
          <w:rFonts w:hint="eastAsia" w:ascii="方正小标宋_GBK" w:hAnsi="宋体" w:eastAsia="方正小标宋_GBK" w:cs="宋体"/>
          <w:color w:val="auto"/>
          <w:sz w:val="36"/>
          <w:szCs w:val="36"/>
          <w:highlight w:val="none"/>
          <w:lang w:val="en-US" w:eastAsia="zh-CN"/>
        </w:rPr>
        <w:t>公益科普项目供应商采购</w:t>
      </w:r>
    </w:p>
    <w:p w14:paraId="5737069F">
      <w:pPr>
        <w:ind w:left="404" w:leftChars="202"/>
        <w:jc w:val="center"/>
        <w:rPr>
          <w:rFonts w:hint="default" w:ascii="方正小标宋_GBK" w:hAnsi="宋体" w:eastAsia="方正小标宋_GBK" w:cs="宋体"/>
          <w:color w:val="auto"/>
          <w:sz w:val="36"/>
          <w:szCs w:val="36"/>
          <w:highlight w:val="none"/>
          <w:lang w:val="en-US" w:eastAsia="zh-CN"/>
        </w:rPr>
      </w:pPr>
    </w:p>
    <w:p w14:paraId="590E4D5F">
      <w:pPr>
        <w:ind w:left="404" w:leftChars="202"/>
        <w:rPr>
          <w:rFonts w:hint="eastAsia" w:eastAsia="宋体"/>
          <w:color w:val="auto"/>
          <w:highlight w:val="none"/>
          <w:lang w:eastAsia="zh-CN"/>
        </w:rPr>
      </w:pPr>
    </w:p>
    <w:p w14:paraId="767AB6F8">
      <w:pPr>
        <w:ind w:left="404" w:leftChars="202"/>
        <w:rPr>
          <w:rFonts w:hint="eastAsia" w:eastAsia="宋体"/>
          <w:color w:val="auto"/>
          <w:highlight w:val="none"/>
          <w:lang w:eastAsia="zh-CN"/>
        </w:rPr>
      </w:pPr>
    </w:p>
    <w:p w14:paraId="4E6714B1">
      <w:pPr>
        <w:ind w:left="404" w:leftChars="202"/>
        <w:rPr>
          <w:rFonts w:hint="eastAsia" w:eastAsia="宋体"/>
          <w:color w:val="auto"/>
          <w:highlight w:val="none"/>
          <w:lang w:eastAsia="zh-CN"/>
        </w:rPr>
      </w:pPr>
    </w:p>
    <w:p w14:paraId="13F02D9B">
      <w:pPr>
        <w:ind w:left="404" w:leftChars="202"/>
        <w:rPr>
          <w:rFonts w:hint="eastAsia" w:eastAsia="宋体"/>
          <w:color w:val="auto"/>
          <w:highlight w:val="none"/>
          <w:lang w:eastAsia="zh-CN"/>
        </w:rPr>
      </w:pPr>
    </w:p>
    <w:p w14:paraId="13BAEF8D">
      <w:pPr>
        <w:ind w:left="404" w:leftChars="202"/>
        <w:rPr>
          <w:rFonts w:hint="eastAsia" w:eastAsia="宋体"/>
          <w:color w:val="auto"/>
          <w:highlight w:val="none"/>
          <w:lang w:eastAsia="zh-CN"/>
        </w:rPr>
      </w:pPr>
    </w:p>
    <w:p w14:paraId="5C529F68">
      <w:pPr>
        <w:ind w:left="404" w:leftChars="202"/>
        <w:rPr>
          <w:rFonts w:hint="eastAsia" w:eastAsia="宋体"/>
          <w:color w:val="auto"/>
          <w:highlight w:val="none"/>
          <w:lang w:eastAsia="zh-CN"/>
        </w:rPr>
      </w:pPr>
    </w:p>
    <w:p w14:paraId="22410D04">
      <w:pPr>
        <w:ind w:left="404" w:leftChars="202"/>
        <w:rPr>
          <w:rFonts w:hint="eastAsia" w:eastAsia="宋体"/>
          <w:color w:val="auto"/>
          <w:highlight w:val="none"/>
          <w:lang w:eastAsia="zh-CN"/>
        </w:rPr>
      </w:pPr>
    </w:p>
    <w:p w14:paraId="1555DFA8">
      <w:pPr>
        <w:ind w:left="404" w:leftChars="202"/>
        <w:rPr>
          <w:rFonts w:hint="eastAsia" w:eastAsia="宋体"/>
          <w:color w:val="auto"/>
          <w:highlight w:val="none"/>
          <w:lang w:eastAsia="zh-CN"/>
        </w:rPr>
      </w:pPr>
    </w:p>
    <w:p w14:paraId="5D4A7CF1">
      <w:pPr>
        <w:ind w:left="404" w:leftChars="202"/>
        <w:rPr>
          <w:rFonts w:hint="eastAsia" w:eastAsia="宋体"/>
          <w:color w:val="auto"/>
          <w:highlight w:val="none"/>
          <w:lang w:eastAsia="zh-CN"/>
        </w:rPr>
      </w:pPr>
    </w:p>
    <w:p w14:paraId="01C6932F">
      <w:pPr>
        <w:ind w:left="404" w:leftChars="202"/>
        <w:rPr>
          <w:rFonts w:hint="eastAsia" w:eastAsia="宋体"/>
          <w:color w:val="auto"/>
          <w:highlight w:val="none"/>
          <w:lang w:eastAsia="zh-CN"/>
        </w:rPr>
      </w:pPr>
    </w:p>
    <w:p w14:paraId="05F9280C">
      <w:pPr>
        <w:ind w:left="404" w:leftChars="202"/>
        <w:rPr>
          <w:rFonts w:hint="eastAsia" w:eastAsia="宋体"/>
          <w:color w:val="auto"/>
          <w:highlight w:val="none"/>
          <w:lang w:eastAsia="zh-CN"/>
        </w:rPr>
      </w:pPr>
    </w:p>
    <w:p w14:paraId="36D6CA25">
      <w:pPr>
        <w:ind w:left="404" w:leftChars="202"/>
        <w:jc w:val="center"/>
        <w:rPr>
          <w:rFonts w:ascii="方正小标宋_GBK" w:eastAsia="方正小标宋_GBK"/>
          <w:color w:val="auto"/>
          <w:sz w:val="44"/>
          <w:szCs w:val="44"/>
          <w:highlight w:val="none"/>
        </w:rPr>
      </w:pPr>
      <w:r>
        <w:rPr>
          <w:rFonts w:hint="eastAsia" w:ascii="方正小标宋_GBK" w:eastAsia="方正小标宋_GBK"/>
          <w:color w:val="auto"/>
          <w:sz w:val="44"/>
          <w:szCs w:val="44"/>
          <w:highlight w:val="none"/>
          <w:lang w:val="en-US" w:eastAsia="zh-CN"/>
        </w:rPr>
        <w:t>比选</w:t>
      </w:r>
      <w:r>
        <w:rPr>
          <w:rFonts w:hint="eastAsia" w:ascii="方正小标宋_GBK" w:eastAsia="方正小标宋_GBK"/>
          <w:color w:val="auto"/>
          <w:sz w:val="44"/>
          <w:szCs w:val="44"/>
          <w:highlight w:val="none"/>
        </w:rPr>
        <w:t>文件</w:t>
      </w:r>
    </w:p>
    <w:p w14:paraId="406D8BD9">
      <w:pPr>
        <w:ind w:left="404" w:leftChars="202"/>
        <w:rPr>
          <w:rFonts w:hint="eastAsia" w:ascii="Calibri" w:eastAsia="宋体"/>
          <w:color w:val="auto"/>
          <w:szCs w:val="21"/>
          <w:highlight w:val="none"/>
          <w:lang w:eastAsia="zh-CN"/>
        </w:rPr>
      </w:pPr>
    </w:p>
    <w:p w14:paraId="5704AD9B">
      <w:pPr>
        <w:ind w:left="404" w:leftChars="202"/>
        <w:rPr>
          <w:rFonts w:hint="eastAsia" w:eastAsia="宋体"/>
          <w:color w:val="auto"/>
          <w:highlight w:val="none"/>
          <w:lang w:eastAsia="zh-CN"/>
        </w:rPr>
      </w:pPr>
    </w:p>
    <w:p w14:paraId="033B67F2">
      <w:pPr>
        <w:ind w:left="404" w:leftChars="202"/>
        <w:rPr>
          <w:rFonts w:hint="eastAsia" w:eastAsia="宋体"/>
          <w:color w:val="auto"/>
          <w:highlight w:val="none"/>
          <w:lang w:eastAsia="zh-CN"/>
        </w:rPr>
      </w:pPr>
    </w:p>
    <w:p w14:paraId="66EFDA45">
      <w:pPr>
        <w:ind w:left="404" w:leftChars="202"/>
        <w:rPr>
          <w:rFonts w:hint="eastAsia" w:eastAsia="宋体"/>
          <w:color w:val="auto"/>
          <w:highlight w:val="none"/>
          <w:lang w:eastAsia="zh-CN"/>
        </w:rPr>
      </w:pPr>
    </w:p>
    <w:p w14:paraId="5696E805">
      <w:pPr>
        <w:ind w:left="404" w:leftChars="202"/>
        <w:rPr>
          <w:rFonts w:hint="eastAsia" w:eastAsia="宋体"/>
          <w:color w:val="auto"/>
          <w:highlight w:val="none"/>
          <w:lang w:eastAsia="zh-CN"/>
        </w:rPr>
      </w:pPr>
    </w:p>
    <w:p w14:paraId="58F1B1D7">
      <w:pPr>
        <w:ind w:left="404" w:leftChars="202"/>
        <w:rPr>
          <w:rFonts w:hint="eastAsia" w:eastAsia="宋体"/>
          <w:color w:val="auto"/>
          <w:highlight w:val="none"/>
          <w:lang w:eastAsia="zh-CN"/>
        </w:rPr>
      </w:pPr>
    </w:p>
    <w:p w14:paraId="1F7AB472">
      <w:pPr>
        <w:ind w:left="404" w:leftChars="202"/>
        <w:rPr>
          <w:rFonts w:hint="eastAsia" w:eastAsia="宋体"/>
          <w:color w:val="auto"/>
          <w:highlight w:val="none"/>
          <w:lang w:eastAsia="zh-CN"/>
        </w:rPr>
      </w:pPr>
    </w:p>
    <w:p w14:paraId="2E331799">
      <w:pPr>
        <w:ind w:left="404" w:leftChars="202"/>
        <w:rPr>
          <w:rFonts w:hint="eastAsia" w:eastAsia="宋体"/>
          <w:color w:val="auto"/>
          <w:highlight w:val="none"/>
          <w:lang w:eastAsia="zh-CN"/>
        </w:rPr>
      </w:pPr>
    </w:p>
    <w:p w14:paraId="28CF4095">
      <w:pPr>
        <w:ind w:left="404" w:leftChars="202" w:firstLine="1807" w:firstLineChars="600"/>
        <w:jc w:val="both"/>
        <w:rPr>
          <w:rFonts w:hint="default" w:ascii="方正仿宋_GBK" w:eastAsia="方正仿宋_GBK"/>
          <w:color w:val="auto"/>
          <w:sz w:val="30"/>
          <w:szCs w:val="30"/>
          <w:highlight w:val="none"/>
          <w:lang w:val="en-US" w:eastAsia="zh-CN"/>
        </w:rPr>
      </w:pPr>
      <w:r>
        <w:rPr>
          <w:rFonts w:hint="eastAsia" w:ascii="Times New Roman" w:hAnsi="Times New Roman" w:eastAsia="方正仿宋_GBK"/>
          <w:b/>
          <w:bCs/>
          <w:color w:val="auto"/>
          <w:sz w:val="30"/>
          <w:szCs w:val="30"/>
          <w:highlight w:val="none"/>
        </w:rPr>
        <w:t>比选人：</w:t>
      </w:r>
      <w:r>
        <w:rPr>
          <w:rFonts w:hint="eastAsia" w:ascii="方正仿宋_GBK" w:eastAsia="方正仿宋_GBK"/>
          <w:color w:val="auto"/>
          <w:sz w:val="30"/>
          <w:szCs w:val="30"/>
          <w:highlight w:val="none"/>
          <w:u w:val="single"/>
          <w:lang w:val="en-US" w:eastAsia="zh-CN"/>
        </w:rPr>
        <w:t xml:space="preserve">                  </w:t>
      </w:r>
    </w:p>
    <w:p w14:paraId="48BDDF24">
      <w:pPr>
        <w:ind w:left="404" w:leftChars="202"/>
        <w:jc w:val="center"/>
        <w:rPr>
          <w:rFonts w:ascii="方正仿宋_GBK" w:eastAsia="方正仿宋_GBK"/>
          <w:color w:val="auto"/>
          <w:sz w:val="30"/>
          <w:szCs w:val="30"/>
          <w:highlight w:val="none"/>
        </w:rPr>
      </w:pPr>
    </w:p>
    <w:p w14:paraId="55B17B38">
      <w:pPr>
        <w:ind w:left="404" w:leftChars="202"/>
        <w:jc w:val="center"/>
        <w:rPr>
          <w:rFonts w:ascii="方正仿宋_GBK" w:eastAsia="方正仿宋_GBK"/>
          <w:color w:val="auto"/>
          <w:sz w:val="30"/>
          <w:szCs w:val="30"/>
          <w:highlight w:val="none"/>
        </w:rPr>
      </w:pPr>
    </w:p>
    <w:p w14:paraId="750A9554">
      <w:pPr>
        <w:ind w:left="404" w:leftChars="202"/>
        <w:jc w:val="center"/>
        <w:rPr>
          <w:rFonts w:ascii="方正仿宋_GBK" w:eastAsia="方正仿宋_GBK"/>
          <w:color w:val="auto"/>
          <w:sz w:val="30"/>
          <w:szCs w:val="30"/>
          <w:highlight w:val="none"/>
        </w:rPr>
      </w:pPr>
    </w:p>
    <w:p w14:paraId="3AEB1DB5">
      <w:pPr>
        <w:ind w:left="404" w:leftChars="202"/>
        <w:jc w:val="center"/>
        <w:rPr>
          <w:rFonts w:ascii="方正仿宋_GBK" w:eastAsia="方正仿宋_GBK"/>
          <w:color w:val="auto"/>
          <w:sz w:val="30"/>
          <w:szCs w:val="30"/>
          <w:highlight w:val="none"/>
        </w:rPr>
      </w:pPr>
      <w:r>
        <w:rPr>
          <w:rFonts w:hint="eastAsia" w:ascii="方正仿宋_GBK" w:eastAsia="方正仿宋_GBK"/>
          <w:color w:val="auto"/>
          <w:sz w:val="30"/>
          <w:szCs w:val="30"/>
          <w:highlight w:val="none"/>
        </w:rPr>
        <w:t>二零二</w:t>
      </w:r>
      <w:r>
        <w:rPr>
          <w:rFonts w:hint="eastAsia" w:ascii="方正仿宋_GBK" w:eastAsia="方正仿宋_GBK"/>
          <w:color w:val="auto"/>
          <w:sz w:val="30"/>
          <w:szCs w:val="30"/>
          <w:highlight w:val="none"/>
          <w:lang w:val="en-US" w:eastAsia="zh-CN"/>
        </w:rPr>
        <w:t>六</w:t>
      </w:r>
      <w:r>
        <w:rPr>
          <w:rFonts w:hint="eastAsia" w:ascii="方正仿宋_GBK" w:eastAsia="方正仿宋_GBK"/>
          <w:color w:val="auto"/>
          <w:sz w:val="30"/>
          <w:szCs w:val="30"/>
          <w:highlight w:val="none"/>
        </w:rPr>
        <w:t>年</w:t>
      </w:r>
      <w:r>
        <w:rPr>
          <w:rFonts w:hint="eastAsia" w:ascii="方正仿宋_GBK" w:eastAsia="方正仿宋_GBK"/>
          <w:color w:val="auto"/>
          <w:sz w:val="30"/>
          <w:szCs w:val="30"/>
          <w:highlight w:val="none"/>
          <w:lang w:val="en-US" w:eastAsia="zh-CN"/>
        </w:rPr>
        <w:t>十</w:t>
      </w:r>
      <w:r>
        <w:rPr>
          <w:rFonts w:hint="eastAsia" w:ascii="方正仿宋_GBK" w:eastAsia="方正仿宋_GBK"/>
          <w:color w:val="auto"/>
          <w:sz w:val="30"/>
          <w:szCs w:val="30"/>
          <w:highlight w:val="none"/>
        </w:rPr>
        <w:t>月</w:t>
      </w:r>
    </w:p>
    <w:p w14:paraId="01FC913D">
      <w:pPr>
        <w:widowControl/>
        <w:jc w:val="left"/>
        <w:rPr>
          <w:color w:val="auto"/>
          <w:kern w:val="0"/>
          <w:highlight w:val="none"/>
        </w:rPr>
        <w:sectPr>
          <w:pgSz w:w="11907" w:h="16839"/>
          <w:pgMar w:top="1440" w:right="1800" w:bottom="1440" w:left="1800" w:header="720" w:footer="720" w:gutter="0"/>
          <w:pgBorders>
            <w:top w:val="none" w:sz="0" w:space="0"/>
            <w:left w:val="none" w:sz="0" w:space="0"/>
            <w:bottom w:val="none" w:sz="0" w:space="0"/>
            <w:right w:val="none" w:sz="0" w:space="0"/>
          </w:pgBorders>
          <w:pgNumType w:fmt="decimal"/>
          <w:cols w:space="720" w:num="1"/>
        </w:sectPr>
      </w:pPr>
    </w:p>
    <w:p w14:paraId="056AC7F0">
      <w:pPr>
        <w:pStyle w:val="12"/>
        <w:rPr>
          <w:rStyle w:val="17"/>
          <w:rFonts w:ascii="Cambria" w:hAnsi="Cambria"/>
          <w:b/>
          <w:color w:val="auto"/>
          <w:kern w:val="0"/>
          <w:szCs w:val="36"/>
          <w:highlight w:val="none"/>
        </w:rPr>
      </w:pPr>
      <w:r>
        <w:rPr>
          <w:rStyle w:val="17"/>
          <w:rFonts w:hint="eastAsia"/>
          <w:b/>
          <w:color w:val="auto"/>
          <w:kern w:val="0"/>
          <w:szCs w:val="36"/>
          <w:highlight w:val="none"/>
          <w:lang w:val="en-US" w:eastAsia="zh-CN"/>
        </w:rPr>
        <w:t>第一部分比选</w:t>
      </w:r>
      <w:r>
        <w:rPr>
          <w:rStyle w:val="17"/>
          <w:rFonts w:hint="eastAsia" w:ascii="Cambria" w:hAnsi="Cambria"/>
          <w:b/>
          <w:color w:val="auto"/>
          <w:kern w:val="0"/>
          <w:szCs w:val="36"/>
          <w:highlight w:val="none"/>
        </w:rPr>
        <w:t>公告</w:t>
      </w:r>
      <w:bookmarkEnd w:id="0"/>
    </w:p>
    <w:p w14:paraId="4037CB91">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一、</w:t>
      </w:r>
      <w:r>
        <w:rPr>
          <w:rFonts w:hint="eastAsia" w:ascii="黑体" w:hAnsi="黑体" w:eastAsia="黑体" w:cs="黑体"/>
          <w:color w:val="auto"/>
          <w:sz w:val="32"/>
          <w:szCs w:val="32"/>
          <w:highlight w:val="none"/>
        </w:rPr>
        <w:t>项目概况</w:t>
      </w:r>
    </w:p>
    <w:p w14:paraId="478E3F1B">
      <w:pPr>
        <w:widowControl/>
        <w:snapToGrid w:val="0"/>
        <w:spacing w:line="60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人民健康是民族昌盛和国家富强的重要标志，《“健康中国2030”规划纲要》《全民健康素养提升三年行动方案（2024-2027年）》明确提出扩大优质健康科普供给、规范网络健康知识传播，推动全社会参与健康科普新格局。</w:t>
      </w:r>
    </w:p>
    <w:p w14:paraId="7457B069">
      <w:pPr>
        <w:widowControl/>
        <w:snapToGrid w:val="0"/>
        <w:spacing w:line="60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自身免疫性疾病涵盖类风湿关节炎、系统性红斑狼疮、干燥综合征、强直性脊柱炎、银屑病、炎症性肠病等，疾病累及多器官系统、病程迁延、致残率高。当前公众对免疫性疾病认知不足，普遍存在认知误区，患者容易出现误诊、延误治疗；同时基层医务人员对规范化诊疗知识也存在提升空间。</w:t>
      </w:r>
    </w:p>
    <w:p w14:paraId="6D0A190C">
      <w:pPr>
        <w:widowControl/>
        <w:snapToGrid w:val="0"/>
        <w:spacing w:line="60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互联网已经成为大众获取疾病知识的主要渠道，网络中充斥大量非专业、误导性免疫疾病相关信息，权威科普内容网络曝光不足。本项目整体包含两大业务模块：一是2026年免疫性疾病规范化诊疗项目——免疫治疗专家交流系列会医学PPT课件定制制作服务，对会议已使用完成的授课PPT课件开展素材重组、内容拆解、资料整理加工，产出全套医学PPT课件；二是依托会议的课件内容拆解、重组、整理产出医学稿件，开展网页公益科普传播，将专家学术成果转化为面向大众的普惠科普内容，弥补网络权威科普缺口，提升普通群众、患者及基层医务工作者对免疫性疾病的科学认知，助力全民健康素养提升。</w:t>
      </w:r>
    </w:p>
    <w:p w14:paraId="0D12FA23">
      <w:pPr>
        <w:widowControl/>
        <w:snapToGrid w:val="0"/>
        <w:spacing w:line="600" w:lineRule="exact"/>
        <w:ind w:firstLine="640" w:firstLineChars="200"/>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color w:val="auto"/>
          <w:sz w:val="32"/>
          <w:szCs w:val="32"/>
          <w:highlight w:val="none"/>
        </w:rPr>
        <w:t>为保障本项目实施落地，现拟通过公开比选方式，择优选择一家第三方服务商完成本项目全部服务工作。本次采购评审原则：在完全满足比选文件实质性采购需求前提下，采用最低竞选价法确定中选候选人。潜在</w:t>
      </w:r>
      <w:r>
        <w:rPr>
          <w:rFonts w:hint="eastAsia" w:ascii="仿宋_GB2312" w:hAnsi="仿宋_GB2312" w:eastAsia="仿宋_GB2312" w:cs="仿宋_GB2312"/>
          <w:color w:val="auto"/>
          <w:sz w:val="32"/>
          <w:szCs w:val="32"/>
          <w:highlight w:val="none"/>
          <w:lang w:val="en-US" w:eastAsia="zh-CN"/>
        </w:rPr>
        <w:t>竞选</w:t>
      </w:r>
      <w:r>
        <w:rPr>
          <w:rFonts w:hint="eastAsia" w:ascii="仿宋_GB2312" w:hAnsi="仿宋_GB2312" w:eastAsia="仿宋_GB2312" w:cs="仿宋_GB2312"/>
          <w:color w:val="auto"/>
          <w:sz w:val="32"/>
          <w:szCs w:val="32"/>
          <w:highlight w:val="none"/>
        </w:rPr>
        <w:t>人应</w:t>
      </w:r>
      <w:r>
        <w:rPr>
          <w:rFonts w:hint="eastAsia" w:ascii="仿宋_GB2312" w:hAnsi="仿宋_GB2312" w:eastAsia="仿宋_GB2312" w:cs="仿宋_GB2312"/>
          <w:color w:val="auto"/>
          <w:sz w:val="32"/>
          <w:szCs w:val="32"/>
          <w:highlight w:val="none"/>
          <w:lang w:val="en-US" w:eastAsia="zh-CN"/>
        </w:rPr>
        <w:t>于</w:t>
      </w:r>
      <w:r>
        <w:rPr>
          <w:rFonts w:hint="eastAsia" w:ascii="仿宋_GB2312" w:hAnsi="仿宋_GB2312" w:eastAsia="仿宋_GB2312" w:cs="仿宋_GB2312"/>
          <w:bCs/>
          <w:color w:val="auto"/>
          <w:sz w:val="32"/>
          <w:szCs w:val="32"/>
          <w:highlight w:val="none"/>
          <w:u w:val="single"/>
        </w:rPr>
        <w:t>202</w:t>
      </w:r>
      <w:r>
        <w:rPr>
          <w:rFonts w:hint="eastAsia" w:ascii="仿宋_GB2312" w:hAnsi="仿宋_GB2312" w:eastAsia="仿宋_GB2312" w:cs="仿宋_GB2312"/>
          <w:bCs/>
          <w:color w:val="auto"/>
          <w:sz w:val="32"/>
          <w:szCs w:val="32"/>
          <w:highlight w:val="none"/>
          <w:u w:val="single"/>
          <w:lang w:val="en-US" w:eastAsia="zh-CN"/>
        </w:rPr>
        <w:t>6</w:t>
      </w:r>
      <w:r>
        <w:rPr>
          <w:rFonts w:hint="eastAsia" w:ascii="仿宋_GB2312" w:hAnsi="仿宋_GB2312" w:eastAsia="仿宋_GB2312" w:cs="仿宋_GB2312"/>
          <w:bCs/>
          <w:color w:val="auto"/>
          <w:sz w:val="32"/>
          <w:szCs w:val="32"/>
          <w:highlight w:val="none"/>
          <w:u w:val="single"/>
        </w:rPr>
        <w:t>年</w:t>
      </w:r>
      <w:r>
        <w:rPr>
          <w:rFonts w:hint="eastAsia" w:ascii="仿宋_GB2312" w:hAnsi="仿宋_GB2312" w:eastAsia="仿宋_GB2312" w:cs="仿宋_GB2312"/>
          <w:color w:val="auto"/>
          <w:kern w:val="0"/>
          <w:sz w:val="32"/>
          <w:szCs w:val="32"/>
          <w:u w:val="single"/>
          <w:lang w:val="en-US" w:eastAsia="zh-CN" w:bidi="ar"/>
        </w:rPr>
        <w:t>10月26日-</w:t>
      </w:r>
      <w:r>
        <w:rPr>
          <w:rFonts w:hint="eastAsia" w:ascii="仿宋_GB2312" w:hAnsi="仿宋_GB2312" w:eastAsia="仿宋_GB2312" w:cs="仿宋_GB2312"/>
          <w:bCs/>
          <w:color w:val="auto"/>
          <w:sz w:val="32"/>
          <w:szCs w:val="32"/>
          <w:highlight w:val="none"/>
          <w:u w:val="single"/>
          <w:lang w:val="en-US" w:eastAsia="zh-CN"/>
        </w:rPr>
        <w:t>10</w:t>
      </w:r>
      <w:r>
        <w:rPr>
          <w:rFonts w:hint="eastAsia" w:ascii="仿宋_GB2312" w:hAnsi="仿宋_GB2312" w:eastAsia="仿宋_GB2312" w:cs="仿宋_GB2312"/>
          <w:bCs/>
          <w:color w:val="auto"/>
          <w:sz w:val="32"/>
          <w:szCs w:val="32"/>
          <w:highlight w:val="none"/>
          <w:u w:val="single"/>
        </w:rPr>
        <w:t>月</w:t>
      </w:r>
      <w:r>
        <w:rPr>
          <w:rFonts w:hint="eastAsia" w:ascii="仿宋_GB2312" w:hAnsi="仿宋_GB2312" w:eastAsia="仿宋_GB2312" w:cs="仿宋_GB2312"/>
          <w:bCs/>
          <w:color w:val="auto"/>
          <w:sz w:val="32"/>
          <w:szCs w:val="32"/>
          <w:highlight w:val="none"/>
          <w:u w:val="single"/>
          <w:lang w:val="en-US" w:eastAsia="zh-CN"/>
        </w:rPr>
        <w:t>30</w:t>
      </w:r>
      <w:r>
        <w:rPr>
          <w:rFonts w:hint="eastAsia" w:ascii="仿宋_GB2312" w:hAnsi="仿宋_GB2312" w:eastAsia="仿宋_GB2312" w:cs="仿宋_GB2312"/>
          <w:bCs/>
          <w:color w:val="auto"/>
          <w:sz w:val="32"/>
          <w:szCs w:val="32"/>
          <w:highlight w:val="none"/>
          <w:u w:val="single"/>
        </w:rPr>
        <w:t>日</w:t>
      </w:r>
      <w:r>
        <w:rPr>
          <w:rFonts w:hint="eastAsia" w:ascii="仿宋_GB2312" w:hAnsi="仿宋_GB2312" w:eastAsia="仿宋_GB2312" w:cs="仿宋_GB2312"/>
          <w:bCs/>
          <w:color w:val="auto"/>
          <w:sz w:val="32"/>
          <w:szCs w:val="32"/>
          <w:highlight w:val="none"/>
          <w:u w:val="single"/>
          <w:lang w:val="en-US" w:eastAsia="zh-CN"/>
        </w:rPr>
        <w:t>从</w:t>
      </w:r>
      <w:r>
        <w:rPr>
          <w:rFonts w:hint="eastAsia" w:ascii="仿宋_GB2312" w:hAnsi="仿宋_GB2312" w:eastAsia="仿宋_GB2312" w:cs="仿宋_GB2312"/>
          <w:color w:val="auto"/>
          <w:sz w:val="32"/>
          <w:szCs w:val="32"/>
          <w:highlight w:val="none"/>
          <w:u w:val="single"/>
          <w:lang w:val="en-US" w:eastAsia="zh-CN"/>
        </w:rPr>
        <w:t>四川省健康促进基金会官网</w:t>
      </w:r>
      <w:r>
        <w:rPr>
          <w:rFonts w:hint="eastAsia" w:ascii="仿宋_GB2312" w:hAnsi="仿宋_GB2312" w:eastAsia="仿宋_GB2312" w:cs="仿宋_GB2312"/>
          <w:color w:val="auto"/>
          <w:sz w:val="32"/>
          <w:szCs w:val="32"/>
          <w:highlight w:val="none"/>
        </w:rPr>
        <w:t>获取</w:t>
      </w:r>
      <w:r>
        <w:rPr>
          <w:rFonts w:hint="eastAsia" w:ascii="仿宋_GB2312" w:hAnsi="仿宋_GB2312" w:eastAsia="仿宋_GB2312" w:cs="仿宋_GB2312"/>
          <w:color w:val="auto"/>
          <w:sz w:val="32"/>
          <w:szCs w:val="32"/>
          <w:highlight w:val="none"/>
          <w:lang w:val="en-US" w:eastAsia="zh-CN"/>
        </w:rPr>
        <w:t>比选</w:t>
      </w:r>
      <w:r>
        <w:rPr>
          <w:rFonts w:hint="eastAsia" w:ascii="仿宋_GB2312" w:hAnsi="仿宋_GB2312" w:eastAsia="仿宋_GB2312" w:cs="仿宋_GB2312"/>
          <w:color w:val="auto"/>
          <w:sz w:val="32"/>
          <w:szCs w:val="32"/>
          <w:highlight w:val="none"/>
        </w:rPr>
        <w:t>文件，并于</w:t>
      </w:r>
      <w:r>
        <w:rPr>
          <w:rFonts w:hint="eastAsia" w:ascii="仿宋_GB2312" w:hAnsi="仿宋_GB2312" w:eastAsia="仿宋_GB2312" w:cs="仿宋_GB2312"/>
          <w:bCs/>
          <w:color w:val="auto"/>
          <w:sz w:val="32"/>
          <w:szCs w:val="32"/>
          <w:highlight w:val="none"/>
          <w:u w:val="single"/>
        </w:rPr>
        <w:t>202</w:t>
      </w:r>
      <w:r>
        <w:rPr>
          <w:rFonts w:hint="eastAsia" w:ascii="仿宋_GB2312" w:hAnsi="仿宋_GB2312" w:eastAsia="仿宋_GB2312" w:cs="仿宋_GB2312"/>
          <w:bCs/>
          <w:color w:val="auto"/>
          <w:sz w:val="32"/>
          <w:szCs w:val="32"/>
          <w:highlight w:val="none"/>
          <w:u w:val="single"/>
          <w:lang w:val="en-US" w:eastAsia="zh-CN"/>
        </w:rPr>
        <w:t>6</w:t>
      </w:r>
      <w:r>
        <w:rPr>
          <w:rFonts w:hint="eastAsia" w:ascii="仿宋_GB2312" w:hAnsi="仿宋_GB2312" w:eastAsia="仿宋_GB2312" w:cs="仿宋_GB2312"/>
          <w:bCs/>
          <w:color w:val="auto"/>
          <w:sz w:val="32"/>
          <w:szCs w:val="32"/>
          <w:highlight w:val="none"/>
          <w:u w:val="single"/>
        </w:rPr>
        <w:t>年</w:t>
      </w:r>
      <w:r>
        <w:rPr>
          <w:rFonts w:hint="eastAsia" w:ascii="仿宋_GB2312" w:hAnsi="仿宋_GB2312" w:eastAsia="仿宋_GB2312" w:cs="仿宋_GB2312"/>
          <w:bCs/>
          <w:color w:val="auto"/>
          <w:sz w:val="32"/>
          <w:szCs w:val="32"/>
          <w:highlight w:val="none"/>
          <w:u w:val="single"/>
          <w:lang w:val="en-US" w:eastAsia="zh-CN"/>
        </w:rPr>
        <w:t>11</w:t>
      </w:r>
      <w:r>
        <w:rPr>
          <w:rFonts w:hint="eastAsia" w:ascii="仿宋_GB2312" w:hAnsi="仿宋_GB2312" w:eastAsia="仿宋_GB2312" w:cs="仿宋_GB2312"/>
          <w:bCs/>
          <w:color w:val="auto"/>
          <w:sz w:val="32"/>
          <w:szCs w:val="32"/>
          <w:highlight w:val="none"/>
          <w:u w:val="single"/>
        </w:rPr>
        <w:t>月</w:t>
      </w:r>
      <w:r>
        <w:rPr>
          <w:rFonts w:hint="eastAsia" w:ascii="仿宋_GB2312" w:hAnsi="仿宋_GB2312" w:eastAsia="仿宋_GB2312" w:cs="仿宋_GB2312"/>
          <w:bCs/>
          <w:color w:val="auto"/>
          <w:sz w:val="32"/>
          <w:szCs w:val="32"/>
          <w:highlight w:val="none"/>
          <w:u w:val="single"/>
          <w:lang w:val="en-US" w:eastAsia="zh-CN"/>
        </w:rPr>
        <w:t>6</w:t>
      </w:r>
      <w:r>
        <w:rPr>
          <w:rFonts w:hint="eastAsia" w:ascii="仿宋_GB2312" w:hAnsi="仿宋_GB2312" w:eastAsia="仿宋_GB2312" w:cs="仿宋_GB2312"/>
          <w:bCs/>
          <w:color w:val="auto"/>
          <w:sz w:val="32"/>
          <w:szCs w:val="32"/>
          <w:highlight w:val="none"/>
          <w:u w:val="single"/>
        </w:rPr>
        <w:t>日10点00分</w:t>
      </w:r>
      <w:r>
        <w:rPr>
          <w:rFonts w:hint="eastAsia" w:ascii="仿宋_GB2312" w:hAnsi="仿宋_GB2312" w:eastAsia="仿宋_GB2312" w:cs="仿宋_GB2312"/>
          <w:bCs/>
          <w:color w:val="auto"/>
          <w:sz w:val="32"/>
          <w:szCs w:val="32"/>
          <w:highlight w:val="none"/>
          <w:u w:val="none"/>
        </w:rPr>
        <w:t>（</w:t>
      </w:r>
      <w:r>
        <w:rPr>
          <w:rFonts w:hint="eastAsia" w:ascii="仿宋_GB2312" w:hAnsi="仿宋_GB2312" w:eastAsia="仿宋_GB2312" w:cs="仿宋_GB2312"/>
          <w:bCs/>
          <w:color w:val="auto"/>
          <w:sz w:val="32"/>
          <w:szCs w:val="32"/>
          <w:highlight w:val="none"/>
        </w:rPr>
        <w:t>北京时间）前递交</w:t>
      </w:r>
      <w:r>
        <w:rPr>
          <w:rFonts w:hint="eastAsia" w:ascii="仿宋_GB2312" w:hAnsi="仿宋_GB2312" w:eastAsia="仿宋_GB2312" w:cs="仿宋_GB2312"/>
          <w:bCs/>
          <w:color w:val="auto"/>
          <w:sz w:val="32"/>
          <w:szCs w:val="32"/>
          <w:highlight w:val="none"/>
          <w:lang w:val="en-US" w:eastAsia="zh-CN"/>
        </w:rPr>
        <w:t>竞选</w:t>
      </w:r>
      <w:r>
        <w:rPr>
          <w:rFonts w:hint="eastAsia" w:ascii="仿宋_GB2312" w:hAnsi="仿宋_GB2312" w:eastAsia="仿宋_GB2312" w:cs="仿宋_GB2312"/>
          <w:bCs/>
          <w:color w:val="auto"/>
          <w:sz w:val="32"/>
          <w:szCs w:val="32"/>
          <w:highlight w:val="none"/>
        </w:rPr>
        <w:t>文件。</w:t>
      </w:r>
    </w:p>
    <w:p w14:paraId="388D7580">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二、项目基本情况</w:t>
      </w:r>
    </w:p>
    <w:p w14:paraId="13A7778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color w:val="auto"/>
          <w:sz w:val="32"/>
          <w:szCs w:val="32"/>
          <w:highlight w:val="none"/>
        </w:rPr>
      </w:pPr>
      <w:r>
        <w:rPr>
          <w:rFonts w:hint="eastAsia" w:ascii="楷体_GB2312" w:hAnsi="楷体_GB2312" w:eastAsia="楷体_GB2312" w:cs="楷体_GB2312"/>
          <w:b/>
          <w:bCs/>
          <w:color w:val="auto"/>
          <w:sz w:val="32"/>
          <w:szCs w:val="32"/>
          <w:highlight w:val="none"/>
          <w:lang w:eastAsia="zh-CN"/>
        </w:rPr>
        <w:t>（</w:t>
      </w:r>
      <w:r>
        <w:rPr>
          <w:rFonts w:hint="eastAsia" w:ascii="楷体_GB2312" w:hAnsi="楷体_GB2312" w:eastAsia="楷体_GB2312" w:cs="楷体_GB2312"/>
          <w:b/>
          <w:bCs/>
          <w:color w:val="auto"/>
          <w:sz w:val="32"/>
          <w:szCs w:val="32"/>
          <w:highlight w:val="none"/>
          <w:lang w:val="en-US" w:eastAsia="zh-CN"/>
        </w:rPr>
        <w:t>一</w:t>
      </w:r>
      <w:r>
        <w:rPr>
          <w:rFonts w:hint="eastAsia" w:ascii="楷体_GB2312" w:hAnsi="楷体_GB2312" w:eastAsia="楷体_GB2312" w:cs="楷体_GB2312"/>
          <w:b/>
          <w:bCs/>
          <w:color w:val="auto"/>
          <w:sz w:val="32"/>
          <w:szCs w:val="32"/>
          <w:highlight w:val="none"/>
          <w:lang w:eastAsia="zh-CN"/>
        </w:rPr>
        <w:t>）</w:t>
      </w:r>
      <w:r>
        <w:rPr>
          <w:rFonts w:hint="eastAsia" w:ascii="楷体_GB2312" w:hAnsi="楷体_GB2312" w:eastAsia="楷体_GB2312" w:cs="楷体_GB2312"/>
          <w:b/>
          <w:bCs/>
          <w:color w:val="auto"/>
          <w:sz w:val="32"/>
          <w:szCs w:val="32"/>
          <w:highlight w:val="none"/>
        </w:rPr>
        <w:t>项目名称</w:t>
      </w:r>
    </w:p>
    <w:p w14:paraId="6591F09C">
      <w:pPr>
        <w:keepNext w:val="0"/>
        <w:keepLines w:val="0"/>
        <w:widowControl/>
        <w:suppressLineNumbers w:val="0"/>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kern w:val="0"/>
          <w:sz w:val="32"/>
          <w:szCs w:val="32"/>
          <w:lang w:val="en-US" w:eastAsia="zh-CN" w:bidi="ar"/>
        </w:rPr>
        <w:t>免疫性疾病规范化诊疗・网页投放公益科普项目</w:t>
      </w:r>
    </w:p>
    <w:p w14:paraId="6F2502A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楷体_GB2312" w:hAnsi="楷体_GB2312" w:eastAsia="楷体_GB2312" w:cs="楷体_GB2312"/>
          <w:b/>
          <w:bCs/>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（二）采购需求</w:t>
      </w:r>
    </w:p>
    <w:p w14:paraId="03B9678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1.项目服务内容要求</w:t>
      </w:r>
    </w:p>
    <w:p w14:paraId="72634EDF">
      <w:pPr>
        <w:keepNext w:val="0"/>
        <w:keepLines w:val="0"/>
        <w:widowControl/>
        <w:suppressLineNumbers w:val="0"/>
        <w:ind w:firstLine="640" w:firstLineChars="200"/>
        <w:jc w:val="both"/>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kern w:val="0"/>
          <w:sz w:val="32"/>
          <w:szCs w:val="32"/>
          <w:lang w:val="en-US" w:eastAsia="zh-CN" w:bidi="ar"/>
        </w:rPr>
        <w:t>本次采购内容包括医学PPT课件定制制作服务和网页公益科普投放服务两大模块，具体涵盖课件整理重组与加工制作、科普话题策略规划、医学稿件撰写、专题报道推广、搜索引擎优化及数据维护等内容。供应商须按采购人要求高质量完成各项服务，并确保交付成果的完整性、专业性和合规性。</w:t>
      </w:r>
    </w:p>
    <w:tbl>
      <w:tblPr>
        <w:tblStyle w:val="13"/>
        <w:tblW w:w="867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653"/>
        <w:gridCol w:w="1607"/>
        <w:gridCol w:w="6414"/>
      </w:tblGrid>
      <w:tr w14:paraId="3FF6E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85" w:hRule="atLeast"/>
          <w:jc w:val="center"/>
        </w:trPr>
        <w:tc>
          <w:tcPr>
            <w:tcW w:w="628"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0A7804BC">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center"/>
              <w:rPr>
                <w:rFonts w:hint="eastAsia" w:ascii="仿宋_GB2312" w:hAnsi="仿宋_GB2312" w:eastAsia="仿宋_GB2312" w:cs="仿宋_GB2312"/>
                <w:sz w:val="21"/>
                <w:szCs w:val="21"/>
              </w:rPr>
            </w:pPr>
            <w:r>
              <w:rPr>
                <w:rStyle w:val="16"/>
                <w:rFonts w:hint="eastAsia" w:ascii="仿宋_GB2312" w:hAnsi="仿宋_GB2312" w:eastAsia="仿宋_GB2312" w:cs="仿宋_GB2312"/>
                <w:kern w:val="0"/>
                <w:sz w:val="21"/>
                <w:szCs w:val="21"/>
                <w:lang w:val="en-US" w:eastAsia="zh-CN" w:bidi="ar"/>
              </w:rPr>
              <w:t>序号</w:t>
            </w:r>
          </w:p>
        </w:tc>
        <w:tc>
          <w:tcPr>
            <w:tcW w:w="1545"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099292F9">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center"/>
              <w:rPr>
                <w:rFonts w:hint="eastAsia" w:ascii="仿宋_GB2312" w:hAnsi="仿宋_GB2312" w:eastAsia="仿宋_GB2312" w:cs="仿宋_GB2312"/>
                <w:sz w:val="21"/>
                <w:szCs w:val="21"/>
              </w:rPr>
            </w:pPr>
            <w:r>
              <w:rPr>
                <w:rStyle w:val="16"/>
                <w:rFonts w:hint="eastAsia" w:ascii="仿宋_GB2312" w:hAnsi="仿宋_GB2312" w:eastAsia="仿宋_GB2312" w:cs="仿宋_GB2312"/>
                <w:kern w:val="0"/>
                <w:sz w:val="21"/>
                <w:szCs w:val="21"/>
                <w:lang w:val="en-US" w:eastAsia="zh-CN" w:bidi="ar"/>
              </w:rPr>
              <w:t>模块名称</w:t>
            </w:r>
          </w:p>
        </w:tc>
        <w:tc>
          <w:tcPr>
            <w:tcW w:w="6165"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265EA07E">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center"/>
              <w:rPr>
                <w:rFonts w:hint="eastAsia" w:ascii="仿宋_GB2312" w:hAnsi="仿宋_GB2312" w:eastAsia="仿宋_GB2312" w:cs="仿宋_GB2312"/>
                <w:sz w:val="21"/>
                <w:szCs w:val="21"/>
              </w:rPr>
            </w:pPr>
            <w:r>
              <w:rPr>
                <w:rStyle w:val="16"/>
                <w:rFonts w:hint="eastAsia" w:ascii="仿宋_GB2312" w:hAnsi="仿宋_GB2312" w:eastAsia="仿宋_GB2312" w:cs="仿宋_GB2312"/>
                <w:kern w:val="0"/>
                <w:sz w:val="21"/>
                <w:szCs w:val="21"/>
                <w:lang w:val="en-US" w:eastAsia="zh-CN" w:bidi="ar"/>
              </w:rPr>
              <w:t>主要功能要求</w:t>
            </w:r>
          </w:p>
        </w:tc>
      </w:tr>
      <w:tr w14:paraId="2CA12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85" w:hRule="atLeast"/>
          <w:jc w:val="center"/>
        </w:trPr>
        <w:tc>
          <w:tcPr>
            <w:tcW w:w="628"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4E830BD0">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1</w:t>
            </w:r>
          </w:p>
        </w:tc>
        <w:tc>
          <w:tcPr>
            <w:tcW w:w="1545"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73A9F516">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医学PPT课件定制制作</w:t>
            </w:r>
          </w:p>
        </w:tc>
        <w:tc>
          <w:tcPr>
            <w:tcW w:w="6165"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5143223D">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对免疫性疾病规范化诊疗项目—免疫治疗专家交流系列会会议已完成的授课PPT课件开展素材重组、内容拆解、资料整理加工，产出全套医学PPT课件；含母版定制、排版美化、医学图表绘制、全套源文件交付及合规配套审核。</w:t>
            </w:r>
          </w:p>
        </w:tc>
      </w:tr>
      <w:tr w14:paraId="352A5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85" w:hRule="atLeast"/>
          <w:jc w:val="center"/>
        </w:trPr>
        <w:tc>
          <w:tcPr>
            <w:tcW w:w="628"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0EC3E68C">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2</w:t>
            </w:r>
          </w:p>
        </w:tc>
        <w:tc>
          <w:tcPr>
            <w:tcW w:w="1545"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12422DBF">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推广话题策略规划</w:t>
            </w:r>
          </w:p>
        </w:tc>
        <w:tc>
          <w:tcPr>
            <w:tcW w:w="6165"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70F1522C">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根据关键词、品牌定位、目标方向及网络环境、行业特性进行分析，制定符合品牌现状及发展规划的话题策略，围绕中轴型脊柱关节炎、强直性脊柱炎、axSpA、银屑病、炎症性肠病等免疫性疾病开展公益科普话题策划。</w:t>
            </w:r>
          </w:p>
        </w:tc>
      </w:tr>
      <w:tr w14:paraId="1A62B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85" w:hRule="atLeast"/>
          <w:jc w:val="center"/>
        </w:trPr>
        <w:tc>
          <w:tcPr>
            <w:tcW w:w="628"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136E1722">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3</w:t>
            </w:r>
          </w:p>
        </w:tc>
        <w:tc>
          <w:tcPr>
            <w:tcW w:w="1545"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4F5F710A">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医学稿件撰写优化</w:t>
            </w:r>
          </w:p>
        </w:tc>
        <w:tc>
          <w:tcPr>
            <w:tcW w:w="6165"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31CED4BB">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针对话题策略及关键词在文案中进行排布与规划，从读者视角出发突出公益宣传和知识科普，增强信任感与吸引力；以关键词全网覆盖为目标，进行文案SEO优化，提升科普内容全网曝光。</w:t>
            </w:r>
          </w:p>
        </w:tc>
      </w:tr>
      <w:tr w14:paraId="28CC8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85" w:hRule="atLeast"/>
          <w:jc w:val="center"/>
        </w:trPr>
        <w:tc>
          <w:tcPr>
            <w:tcW w:w="628"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7FF6F314">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4</w:t>
            </w:r>
          </w:p>
        </w:tc>
        <w:tc>
          <w:tcPr>
            <w:tcW w:w="1545"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7DC46F9F">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专题报道推广</w:t>
            </w:r>
          </w:p>
        </w:tc>
        <w:tc>
          <w:tcPr>
            <w:tcW w:w="6165"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58069FFA">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针对布局好的关键词及优质长尾词进行稿件投放布局，以SEO卡位为主要目的，通过人民健康网、第一健康网、中国生活网、中华健康新闻网、健康生活报等门户媒体及行业垂直媒体合理搭配发布，实现全网媒体曝光。</w:t>
            </w:r>
          </w:p>
        </w:tc>
      </w:tr>
      <w:tr w14:paraId="7615B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85" w:hRule="atLeast"/>
          <w:jc w:val="center"/>
        </w:trPr>
        <w:tc>
          <w:tcPr>
            <w:tcW w:w="628"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38F28A60">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5</w:t>
            </w:r>
          </w:p>
        </w:tc>
        <w:tc>
          <w:tcPr>
            <w:tcW w:w="1545"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2AB24E24">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搜索引擎优化</w:t>
            </w:r>
          </w:p>
        </w:tc>
        <w:tc>
          <w:tcPr>
            <w:tcW w:w="6165"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0EE8B188">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通过发布新闻稿、针对布局好的关键词优化，提升对应网站及网页权重，实现搜索关键词排名提升；优化后百度搜索中轴型脊柱关节炎、强直性脊柱炎、axSpA、银屑病、炎症性肠病等关键词；同步维护资讯页SEO。</w:t>
            </w:r>
          </w:p>
        </w:tc>
      </w:tr>
      <w:tr w14:paraId="7C4B8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85" w:hRule="atLeast"/>
          <w:jc w:val="center"/>
        </w:trPr>
        <w:tc>
          <w:tcPr>
            <w:tcW w:w="628"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1E9A7D47">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6</w:t>
            </w:r>
          </w:p>
        </w:tc>
        <w:tc>
          <w:tcPr>
            <w:tcW w:w="1545"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53E024CE">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数据维护及优化</w:t>
            </w:r>
          </w:p>
        </w:tc>
        <w:tc>
          <w:tcPr>
            <w:tcW w:w="6165"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1410C711">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根据需求确认传播目标、增加科普广度；通过市场调研和用户数据分析确定目标受众特征和需求，进行精准投放；注重广告创意的视觉效果和信息传达效果，运用图片、视频、标题和描述等元素提升吸引力与互动性。</w:t>
            </w:r>
          </w:p>
        </w:tc>
      </w:tr>
      <w:tr w14:paraId="79FBD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85" w:hRule="atLeast"/>
          <w:jc w:val="center"/>
        </w:trPr>
        <w:tc>
          <w:tcPr>
            <w:tcW w:w="628"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75E46D3C">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7</w:t>
            </w:r>
          </w:p>
        </w:tc>
        <w:tc>
          <w:tcPr>
            <w:tcW w:w="1545"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4D69D658">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成果交付与审核</w:t>
            </w:r>
          </w:p>
        </w:tc>
        <w:tc>
          <w:tcPr>
            <w:tcW w:w="6165"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5F8E367E">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针对关键信息、推广数据出具定制化报表；对文稿内容进行数据管理和内容审核，确保发布内容合规、数据有效，并提供相应的交付佐证材料。</w:t>
            </w:r>
          </w:p>
        </w:tc>
      </w:tr>
    </w:tbl>
    <w:p w14:paraId="4BBDEE1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b/>
          <w:bCs/>
          <w:color w:val="auto"/>
          <w:sz w:val="32"/>
          <w:szCs w:val="32"/>
          <w:highlight w:val="none"/>
          <w:lang w:val="en-US" w:eastAsia="zh-CN"/>
        </w:rPr>
      </w:pPr>
      <w:bookmarkStart w:id="1" w:name="技术支持与运维服务"/>
      <w:r>
        <w:rPr>
          <w:rFonts w:hint="default" w:ascii="仿宋_GB2312" w:hAnsi="仿宋_GB2312" w:eastAsia="仿宋_GB2312" w:cs="仿宋_GB2312"/>
          <w:b/>
          <w:bCs/>
          <w:color w:val="auto"/>
          <w:sz w:val="32"/>
          <w:szCs w:val="32"/>
          <w:highlight w:val="none"/>
          <w:lang w:val="en-US" w:eastAsia="zh-CN"/>
        </w:rPr>
        <w:t>2.内容合规与信息安全</w:t>
      </w:r>
    </w:p>
    <w:p w14:paraId="0B4044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课件及稿件内容须确保版权合规，使用素材均取得合法授权，不得侵犯第三方知识产权；</w:t>
      </w:r>
    </w:p>
    <w:p w14:paraId="305191D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建立传播数据及交付资料的备份机制，保障成果完整可追溯；</w:t>
      </w:r>
    </w:p>
    <w:p w14:paraId="06BCAC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未经采购人书面同意，不得将本项目成果及数据用于任何商业用途或二次加工。</w:t>
      </w:r>
    </w:p>
    <w:p w14:paraId="099E003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b/>
          <w:bCs/>
          <w:color w:val="auto"/>
          <w:sz w:val="32"/>
          <w:szCs w:val="32"/>
          <w:highlight w:val="none"/>
          <w:lang w:val="en-US" w:eastAsia="zh-CN"/>
        </w:rPr>
      </w:pPr>
      <w:r>
        <w:rPr>
          <w:rFonts w:hint="default" w:ascii="仿宋_GB2312" w:hAnsi="仿宋_GB2312" w:eastAsia="仿宋_GB2312" w:cs="仿宋_GB2312"/>
          <w:b/>
          <w:bCs/>
          <w:color w:val="auto"/>
          <w:sz w:val="32"/>
          <w:szCs w:val="32"/>
          <w:highlight w:val="none"/>
          <w:lang w:val="en-US" w:eastAsia="zh-CN"/>
        </w:rPr>
        <w:t>3.</w:t>
      </w:r>
      <w:r>
        <w:rPr>
          <w:rStyle w:val="16"/>
          <w:rFonts w:ascii="宋体" w:hAnsi="宋体" w:eastAsia="宋体" w:cs="宋体"/>
          <w:kern w:val="0"/>
          <w:sz w:val="32"/>
          <w:szCs w:val="32"/>
          <w:lang w:val="en-US" w:eastAsia="zh-CN" w:bidi="ar"/>
        </w:rPr>
        <w:t>科普内容传播支持</w:t>
      </w:r>
    </w:p>
    <w:p w14:paraId="699C03C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针对免疫性疾病制作专业、易懂的科普图文内容，突出公益宣传与知识科普；</w:t>
      </w:r>
    </w:p>
    <w:p w14:paraId="46197D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围绕中轴型脊柱关节炎、银屑病、炎症性肠病等疾病开展话题策划及稿件撰写，实现关键词全网覆盖；</w:t>
      </w:r>
    </w:p>
    <w:p w14:paraId="6D066D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通过门户媒体及行业垂直媒体合理搭配发布，实现SEO卡位与全网正面曝光。</w:t>
      </w:r>
    </w:p>
    <w:bookmarkEnd w:id="1"/>
    <w:p w14:paraId="4869D343">
      <w:pPr>
        <w:pStyle w:val="8"/>
        <w:keepNext w:val="0"/>
        <w:keepLines w:val="0"/>
        <w:pageBreakBefore w:val="0"/>
        <w:widowControl w:val="0"/>
        <w:kinsoku/>
        <w:wordWrap/>
        <w:overflowPunct/>
        <w:topLinePunct w:val="0"/>
        <w:autoSpaceDE/>
        <w:autoSpaceDN/>
        <w:bidi w:val="0"/>
        <w:adjustRightInd/>
        <w:snapToGrid/>
        <w:ind w:left="0" w:right="0" w:firstLine="643" w:firstLineChars="200"/>
        <w:textAlignment w:val="auto"/>
        <w:rPr>
          <w:rFonts w:hint="eastAsia" w:ascii="仿宋_GB2312" w:hAnsi="仿宋_GB2312" w:eastAsia="仿宋_GB2312" w:cs="仿宋_GB2312"/>
          <w:b/>
          <w:bCs/>
          <w:color w:val="auto"/>
          <w:sz w:val="32"/>
          <w:szCs w:val="32"/>
          <w:highlight w:val="none"/>
          <w:lang w:val="en-US" w:eastAsia="zh-CN" w:bidi="ar-SA"/>
        </w:rPr>
      </w:pPr>
      <w:r>
        <w:rPr>
          <w:rFonts w:hint="eastAsia" w:ascii="仿宋_GB2312" w:hAnsi="仿宋_GB2312" w:eastAsia="仿宋_GB2312" w:cs="仿宋_GB2312"/>
          <w:b/>
          <w:bCs/>
          <w:color w:val="auto"/>
          <w:sz w:val="32"/>
          <w:szCs w:val="32"/>
          <w:highlight w:val="none"/>
          <w:lang w:val="en-US" w:eastAsia="zh-CN" w:bidi="ar-SA"/>
        </w:rPr>
        <w:t>说明：以上为完整交付要求、不得缺项，供应商应标视同完全响应</w:t>
      </w:r>
    </w:p>
    <w:p w14:paraId="1BCCBCD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color w:val="auto"/>
          <w:sz w:val="32"/>
          <w:szCs w:val="32"/>
          <w:highlight w:val="none"/>
          <w:lang w:eastAsia="zh-CN"/>
        </w:rPr>
      </w:pPr>
      <w:r>
        <w:rPr>
          <w:rFonts w:hint="eastAsia" w:ascii="楷体_GB2312" w:hAnsi="楷体_GB2312" w:eastAsia="楷体_GB2312" w:cs="楷体_GB2312"/>
          <w:b/>
          <w:bCs/>
          <w:color w:val="auto"/>
          <w:sz w:val="32"/>
          <w:szCs w:val="32"/>
          <w:highlight w:val="none"/>
          <w:lang w:eastAsia="zh-CN"/>
        </w:rPr>
        <w:t>（</w:t>
      </w:r>
      <w:r>
        <w:rPr>
          <w:rFonts w:hint="eastAsia" w:ascii="楷体_GB2312" w:hAnsi="楷体_GB2312" w:eastAsia="楷体_GB2312" w:cs="楷体_GB2312"/>
          <w:b/>
          <w:bCs/>
          <w:color w:val="auto"/>
          <w:sz w:val="32"/>
          <w:szCs w:val="32"/>
          <w:highlight w:val="none"/>
          <w:lang w:val="en-US" w:eastAsia="zh-CN"/>
        </w:rPr>
        <w:t>三</w:t>
      </w:r>
      <w:r>
        <w:rPr>
          <w:rFonts w:hint="eastAsia" w:ascii="楷体_GB2312" w:hAnsi="楷体_GB2312" w:eastAsia="楷体_GB2312" w:cs="楷体_GB2312"/>
          <w:b/>
          <w:bCs/>
          <w:color w:val="auto"/>
          <w:sz w:val="32"/>
          <w:szCs w:val="32"/>
          <w:highlight w:val="none"/>
          <w:lang w:eastAsia="zh-CN"/>
        </w:rPr>
        <w:t>）</w:t>
      </w:r>
      <w:r>
        <w:rPr>
          <w:rFonts w:hint="eastAsia" w:ascii="楷体_GB2312" w:hAnsi="楷体_GB2312" w:eastAsia="楷体_GB2312" w:cs="楷体_GB2312"/>
          <w:b/>
          <w:bCs/>
          <w:color w:val="auto"/>
          <w:sz w:val="32"/>
          <w:szCs w:val="32"/>
          <w:highlight w:val="none"/>
          <w:lang w:val="en-US" w:eastAsia="zh-CN"/>
        </w:rPr>
        <w:t>预算金额</w:t>
      </w:r>
    </w:p>
    <w:p w14:paraId="4DBD57FD">
      <w:pPr>
        <w:widowControl/>
        <w:snapToGrid w:val="0"/>
        <w:spacing w:line="60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不高于人民币61.4万元（全包干）</w:t>
      </w:r>
    </w:p>
    <w:p w14:paraId="7FEA609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color w:val="auto"/>
          <w:sz w:val="32"/>
          <w:szCs w:val="32"/>
          <w:highlight w:val="none"/>
          <w:lang w:eastAsia="zh-CN"/>
        </w:rPr>
      </w:pPr>
      <w:r>
        <w:rPr>
          <w:rFonts w:hint="eastAsia" w:ascii="楷体_GB2312" w:hAnsi="楷体_GB2312" w:eastAsia="楷体_GB2312" w:cs="楷体_GB2312"/>
          <w:b/>
          <w:bCs/>
          <w:color w:val="auto"/>
          <w:sz w:val="32"/>
          <w:szCs w:val="32"/>
          <w:highlight w:val="none"/>
          <w:lang w:eastAsia="zh-CN"/>
        </w:rPr>
        <w:t>（</w:t>
      </w:r>
      <w:r>
        <w:rPr>
          <w:rFonts w:hint="eastAsia" w:ascii="楷体_GB2312" w:hAnsi="楷体_GB2312" w:eastAsia="楷体_GB2312" w:cs="楷体_GB2312"/>
          <w:b/>
          <w:bCs/>
          <w:color w:val="auto"/>
          <w:sz w:val="32"/>
          <w:szCs w:val="32"/>
          <w:highlight w:val="none"/>
          <w:lang w:val="en-US" w:eastAsia="zh-CN"/>
        </w:rPr>
        <w:t>四</w:t>
      </w:r>
      <w:r>
        <w:rPr>
          <w:rFonts w:hint="eastAsia" w:ascii="楷体_GB2312" w:hAnsi="楷体_GB2312" w:eastAsia="楷体_GB2312" w:cs="楷体_GB2312"/>
          <w:b/>
          <w:bCs/>
          <w:color w:val="auto"/>
          <w:sz w:val="32"/>
          <w:szCs w:val="32"/>
          <w:highlight w:val="none"/>
          <w:lang w:eastAsia="zh-CN"/>
        </w:rPr>
        <w:t>）合同履行期限</w:t>
      </w:r>
    </w:p>
    <w:p w14:paraId="639CEF62">
      <w:pPr>
        <w:widowControl/>
        <w:snapToGrid w:val="0"/>
        <w:spacing w:line="60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202</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年11月至2027年1</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月</w:t>
      </w:r>
    </w:p>
    <w:p w14:paraId="175B4DF9">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三、竞选人资格要求：</w:t>
      </w:r>
    </w:p>
    <w:p w14:paraId="03410DFB">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（一）竞选人必须是在中华人民共和国境内注册的独立法人或单位，符合国家法律规定，具备独立订立合同的能力，经营范围包含健康咨询服务（不含诊疗服务）、图文设计制作、大数据服务</w:t>
      </w:r>
      <w:r>
        <w:rPr>
          <w:rFonts w:hint="eastAsia" w:ascii="仿宋_GB2312" w:hAnsi="仿宋_GB2312" w:eastAsia="仿宋_GB2312" w:cs="仿宋_GB2312"/>
          <w:color w:val="auto"/>
          <w:sz w:val="32"/>
          <w:szCs w:val="32"/>
          <w:highlight w:val="none"/>
          <w:lang w:val="en-US" w:eastAsia="zh-CN"/>
        </w:rPr>
        <w:t>；</w:t>
      </w:r>
    </w:p>
    <w:p w14:paraId="3790B47F">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（二）法定代表人（单位负责人）授权书原件，或法定代表人（单位负责人）身份证明原件（后附文件格式）；</w:t>
      </w:r>
    </w:p>
    <w:p w14:paraId="2E78D5F5">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（三）承诺函原件（后附文件格式）；</w:t>
      </w:r>
    </w:p>
    <w:p w14:paraId="021585F8">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注：以上文件均须加盖供应商单位公章。</w:t>
      </w:r>
    </w:p>
    <w:p w14:paraId="1F466261">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四、采购方式：</w:t>
      </w:r>
    </w:p>
    <w:p w14:paraId="24814F7E">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采用比选方式</w:t>
      </w:r>
    </w:p>
    <w:p w14:paraId="302FC4CA">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竞选人应按竞选服务形式/内容全部报价，并按报价单的要求填报。</w:t>
      </w:r>
    </w:p>
    <w:p w14:paraId="1417B325">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五、确定供应商方法：</w:t>
      </w:r>
    </w:p>
    <w:p w14:paraId="1C043431">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line="560" w:lineRule="atLeas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通过公开、公平、公正比选选定合作供应商。竞选人根据采购人提供的服务要求在规定的时间进行现场报价，采购人在规定的时间进行统一拆封报价。</w:t>
      </w:r>
    </w:p>
    <w:p w14:paraId="16D39217">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评分办法：最低竞选价法，指在竞选人资格审查合格、全部实质性响应比选文件要求的竞选人中，报价最低的竞选人为中选候选人。</w:t>
      </w:r>
    </w:p>
    <w:p w14:paraId="17832B80">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1.</w:t>
      </w:r>
      <w:r>
        <w:rPr>
          <w:rFonts w:hint="eastAsia" w:ascii="仿宋_GB2312" w:hAnsi="仿宋_GB2312" w:eastAsia="仿宋_GB2312" w:cs="仿宋_GB2312"/>
          <w:i w:val="0"/>
          <w:iCs w:val="0"/>
          <w:caps w:val="0"/>
          <w:color w:val="auto"/>
          <w:spacing w:val="0"/>
          <w:sz w:val="32"/>
          <w:szCs w:val="32"/>
          <w:highlight w:val="none"/>
        </w:rPr>
        <w:t>资格审查：</w:t>
      </w:r>
      <w:r>
        <w:rPr>
          <w:rFonts w:hint="eastAsia" w:ascii="仿宋_GB2312" w:hAnsi="仿宋_GB2312" w:eastAsia="仿宋_GB2312" w:cs="仿宋_GB2312"/>
          <w:color w:val="auto"/>
          <w:kern w:val="0"/>
          <w:sz w:val="32"/>
          <w:szCs w:val="32"/>
          <w:highlight w:val="none"/>
          <w:lang w:val="en-US" w:eastAsia="zh-CN" w:bidi="ar-SA"/>
        </w:rPr>
        <w:t>比选小组成员在评审前应对竞选人资格进行审查，资格审查通过后的竞选人方能参与比选。</w:t>
      </w:r>
    </w:p>
    <w:p w14:paraId="176877C1">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2.</w:t>
      </w:r>
      <w:r>
        <w:rPr>
          <w:rFonts w:hint="eastAsia" w:ascii="仿宋_GB2312" w:hAnsi="仿宋_GB2312" w:eastAsia="仿宋_GB2312" w:cs="仿宋_GB2312"/>
          <w:i w:val="0"/>
          <w:iCs w:val="0"/>
          <w:caps w:val="0"/>
          <w:color w:val="auto"/>
          <w:spacing w:val="0"/>
          <w:sz w:val="32"/>
          <w:szCs w:val="32"/>
          <w:highlight w:val="none"/>
        </w:rPr>
        <w:t>报价函中如有空白遗漏等无价格情况，其该类别评分得零。</w:t>
      </w:r>
    </w:p>
    <w:p w14:paraId="2F806340">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3.</w:t>
      </w:r>
      <w:r>
        <w:rPr>
          <w:rFonts w:hint="eastAsia" w:ascii="仿宋_GB2312" w:hAnsi="仿宋_GB2312" w:eastAsia="仿宋_GB2312" w:cs="仿宋_GB2312"/>
          <w:i w:val="0"/>
          <w:iCs w:val="0"/>
          <w:caps w:val="0"/>
          <w:color w:val="auto"/>
          <w:spacing w:val="0"/>
          <w:sz w:val="32"/>
          <w:szCs w:val="32"/>
          <w:highlight w:val="none"/>
        </w:rPr>
        <w:t>竞选文件评审</w:t>
      </w:r>
    </w:p>
    <w:p w14:paraId="4F13BB76">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竞选文件评审由比选小组负责。比选小组根据竞选人提交的竞选文件，对照比选文件的标准和要求，进行资格评审、响应性评审等。</w:t>
      </w:r>
    </w:p>
    <w:p w14:paraId="3126FD3B">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lang w:eastAsia="zh-CN"/>
        </w:rPr>
      </w:pPr>
      <w:r>
        <w:rPr>
          <w:rFonts w:hint="eastAsia" w:ascii="仿宋_GB2312" w:hAnsi="仿宋_GB2312" w:eastAsia="仿宋_GB2312" w:cs="仿宋_GB2312"/>
          <w:i w:val="0"/>
          <w:iCs w:val="0"/>
          <w:caps w:val="0"/>
          <w:color w:val="auto"/>
          <w:spacing w:val="0"/>
          <w:sz w:val="32"/>
          <w:szCs w:val="32"/>
          <w:highlight w:val="none"/>
          <w:lang w:val="en-US" w:eastAsia="zh-CN"/>
        </w:rPr>
        <w:t>4.</w:t>
      </w:r>
      <w:r>
        <w:rPr>
          <w:rFonts w:hint="eastAsia" w:ascii="仿宋_GB2312" w:hAnsi="仿宋_GB2312" w:eastAsia="仿宋_GB2312" w:cs="仿宋_GB2312"/>
          <w:i w:val="0"/>
          <w:iCs w:val="0"/>
          <w:caps w:val="0"/>
          <w:color w:val="auto"/>
          <w:spacing w:val="0"/>
          <w:sz w:val="32"/>
          <w:szCs w:val="32"/>
          <w:highlight w:val="none"/>
        </w:rPr>
        <w:t>竞选文件出现以下情形，作废标处理</w:t>
      </w:r>
      <w:r>
        <w:rPr>
          <w:rFonts w:hint="eastAsia" w:ascii="仿宋_GB2312" w:hAnsi="仿宋_GB2312" w:eastAsia="仿宋_GB2312" w:cs="仿宋_GB2312"/>
          <w:i w:val="0"/>
          <w:iCs w:val="0"/>
          <w:caps w:val="0"/>
          <w:color w:val="auto"/>
          <w:spacing w:val="0"/>
          <w:sz w:val="32"/>
          <w:szCs w:val="32"/>
          <w:highlight w:val="none"/>
          <w:lang w:eastAsia="zh-CN"/>
        </w:rPr>
        <w:t>：</w:t>
      </w:r>
    </w:p>
    <w:p w14:paraId="5960533C">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（1）竞选人竞选文件载明的竞选人名称与提供营业执照不一致的；</w:t>
      </w:r>
    </w:p>
    <w:p w14:paraId="39182564">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（2）竞选函、竞选报价、承诺书清单签字、盖章不符合比选文件要求的，承诺书弄虚作假的；</w:t>
      </w:r>
    </w:p>
    <w:p w14:paraId="1121C7F4">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（3）营业执照等证失效，或者营业执照的经营范围不符合比选文件要求的；</w:t>
      </w:r>
    </w:p>
    <w:p w14:paraId="2902929C">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4</w:t>
      </w:r>
      <w:r>
        <w:rPr>
          <w:rFonts w:hint="eastAsia" w:ascii="仿宋_GB2312" w:hAnsi="仿宋_GB2312" w:eastAsia="仿宋_GB2312" w:cs="仿宋_GB2312"/>
          <w:i w:val="0"/>
          <w:iCs w:val="0"/>
          <w:caps w:val="0"/>
          <w:color w:val="auto"/>
          <w:spacing w:val="0"/>
          <w:sz w:val="32"/>
          <w:szCs w:val="32"/>
          <w:highlight w:val="none"/>
        </w:rPr>
        <w:t>）更改报价范围（含改变比选人给定的量），或者增、减报价项目的，改变报价</w:t>
      </w:r>
      <w:r>
        <w:rPr>
          <w:rFonts w:hint="eastAsia" w:ascii="仿宋_GB2312" w:hAnsi="仿宋_GB2312" w:eastAsia="仿宋_GB2312" w:cs="仿宋_GB2312"/>
          <w:i w:val="0"/>
          <w:iCs w:val="0"/>
          <w:caps w:val="0"/>
          <w:color w:val="auto"/>
          <w:spacing w:val="0"/>
          <w:sz w:val="32"/>
          <w:szCs w:val="32"/>
          <w:highlight w:val="none"/>
          <w:lang w:val="en-US" w:eastAsia="zh-CN"/>
        </w:rPr>
        <w:t>单</w:t>
      </w:r>
      <w:r>
        <w:rPr>
          <w:rFonts w:hint="eastAsia" w:ascii="仿宋_GB2312" w:hAnsi="仿宋_GB2312" w:eastAsia="仿宋_GB2312" w:cs="仿宋_GB2312"/>
          <w:i w:val="0"/>
          <w:iCs w:val="0"/>
          <w:caps w:val="0"/>
          <w:color w:val="auto"/>
          <w:spacing w:val="0"/>
          <w:sz w:val="32"/>
          <w:szCs w:val="32"/>
          <w:highlight w:val="none"/>
        </w:rPr>
        <w:t>格式的；</w:t>
      </w:r>
    </w:p>
    <w:p w14:paraId="3885BD5A">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5</w:t>
      </w:r>
      <w:r>
        <w:rPr>
          <w:rFonts w:hint="eastAsia" w:ascii="仿宋_GB2312" w:hAnsi="仿宋_GB2312" w:eastAsia="仿宋_GB2312" w:cs="仿宋_GB2312"/>
          <w:i w:val="0"/>
          <w:iCs w:val="0"/>
          <w:caps w:val="0"/>
          <w:color w:val="auto"/>
          <w:spacing w:val="0"/>
          <w:sz w:val="32"/>
          <w:szCs w:val="32"/>
          <w:highlight w:val="none"/>
        </w:rPr>
        <w:t>）承诺书中未按要求填写完整的；</w:t>
      </w:r>
    </w:p>
    <w:p w14:paraId="0CB88047">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6</w:t>
      </w:r>
      <w:r>
        <w:rPr>
          <w:rFonts w:hint="eastAsia" w:ascii="仿宋_GB2312" w:hAnsi="仿宋_GB2312" w:eastAsia="仿宋_GB2312" w:cs="仿宋_GB2312"/>
          <w:i w:val="0"/>
          <w:iCs w:val="0"/>
          <w:caps w:val="0"/>
          <w:color w:val="auto"/>
          <w:spacing w:val="0"/>
          <w:sz w:val="32"/>
          <w:szCs w:val="32"/>
          <w:highlight w:val="none"/>
        </w:rPr>
        <w:t>）比选小组认为竞选人的报价明显低于成本的，要求该竞选人做出说明，竞选人不能合理说明或者不能提供相应证明材料的，比选小组认定其竞选文件作废标处理；</w:t>
      </w:r>
    </w:p>
    <w:p w14:paraId="5409CA4B">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7</w:t>
      </w:r>
      <w:r>
        <w:rPr>
          <w:rFonts w:hint="eastAsia" w:ascii="仿宋_GB2312" w:hAnsi="仿宋_GB2312" w:eastAsia="仿宋_GB2312" w:cs="仿宋_GB2312"/>
          <w:i w:val="0"/>
          <w:iCs w:val="0"/>
          <w:caps w:val="0"/>
          <w:color w:val="auto"/>
          <w:spacing w:val="0"/>
          <w:sz w:val="32"/>
          <w:szCs w:val="32"/>
          <w:highlight w:val="none"/>
        </w:rPr>
        <w:t>）报价</w:t>
      </w:r>
      <w:r>
        <w:rPr>
          <w:rFonts w:hint="eastAsia" w:ascii="仿宋_GB2312" w:hAnsi="仿宋_GB2312" w:eastAsia="仿宋_GB2312" w:cs="仿宋_GB2312"/>
          <w:i w:val="0"/>
          <w:iCs w:val="0"/>
          <w:caps w:val="0"/>
          <w:color w:val="auto"/>
          <w:spacing w:val="0"/>
          <w:sz w:val="32"/>
          <w:szCs w:val="32"/>
          <w:highlight w:val="none"/>
          <w:lang w:val="en-US" w:eastAsia="zh-CN"/>
        </w:rPr>
        <w:t>书</w:t>
      </w:r>
      <w:r>
        <w:rPr>
          <w:rFonts w:hint="eastAsia" w:ascii="仿宋_GB2312" w:hAnsi="仿宋_GB2312" w:eastAsia="仿宋_GB2312" w:cs="仿宋_GB2312"/>
          <w:i w:val="0"/>
          <w:iCs w:val="0"/>
          <w:caps w:val="0"/>
          <w:color w:val="auto"/>
          <w:spacing w:val="0"/>
          <w:sz w:val="32"/>
          <w:szCs w:val="32"/>
          <w:highlight w:val="none"/>
        </w:rPr>
        <w:t>中如有空白遗漏，其该类别评分得零；</w:t>
      </w:r>
    </w:p>
    <w:p w14:paraId="688C93BD">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8</w:t>
      </w:r>
      <w:r>
        <w:rPr>
          <w:rFonts w:hint="eastAsia" w:ascii="仿宋_GB2312" w:hAnsi="仿宋_GB2312" w:eastAsia="仿宋_GB2312" w:cs="仿宋_GB2312"/>
          <w:i w:val="0"/>
          <w:iCs w:val="0"/>
          <w:caps w:val="0"/>
          <w:color w:val="auto"/>
          <w:spacing w:val="0"/>
          <w:sz w:val="32"/>
          <w:szCs w:val="32"/>
          <w:highlight w:val="none"/>
        </w:rPr>
        <w:t>）其他情形经比选小组一致决定作废的。</w:t>
      </w:r>
    </w:p>
    <w:p w14:paraId="1475CFD8">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5.采购方</w:t>
      </w:r>
      <w:r>
        <w:rPr>
          <w:rFonts w:hint="eastAsia" w:ascii="仿宋_GB2312" w:hAnsi="仿宋_GB2312" w:eastAsia="仿宋_GB2312" w:cs="仿宋_GB2312"/>
          <w:i w:val="0"/>
          <w:iCs w:val="0"/>
          <w:caps w:val="0"/>
          <w:color w:val="auto"/>
          <w:spacing w:val="0"/>
          <w:sz w:val="32"/>
          <w:szCs w:val="32"/>
          <w:highlight w:val="none"/>
        </w:rPr>
        <w:t>确定并公布中</w:t>
      </w:r>
      <w:r>
        <w:rPr>
          <w:rFonts w:hint="eastAsia" w:ascii="仿宋_GB2312" w:hAnsi="仿宋_GB2312" w:eastAsia="仿宋_GB2312" w:cs="仿宋_GB2312"/>
          <w:i w:val="0"/>
          <w:iCs w:val="0"/>
          <w:caps w:val="0"/>
          <w:color w:val="auto"/>
          <w:spacing w:val="0"/>
          <w:sz w:val="32"/>
          <w:szCs w:val="32"/>
          <w:highlight w:val="none"/>
          <w:lang w:val="en-US" w:eastAsia="zh-CN"/>
        </w:rPr>
        <w:t>中选候</w:t>
      </w:r>
      <w:r>
        <w:rPr>
          <w:rFonts w:hint="eastAsia" w:ascii="仿宋_GB2312" w:hAnsi="仿宋_GB2312" w:eastAsia="仿宋_GB2312" w:cs="仿宋_GB2312"/>
          <w:i w:val="0"/>
          <w:iCs w:val="0"/>
          <w:caps w:val="0"/>
          <w:color w:val="auto"/>
          <w:spacing w:val="0"/>
          <w:sz w:val="32"/>
          <w:szCs w:val="32"/>
          <w:highlight w:val="none"/>
        </w:rPr>
        <w:t>选人后，第一</w:t>
      </w:r>
      <w:r>
        <w:rPr>
          <w:rFonts w:hint="eastAsia" w:ascii="仿宋_GB2312" w:hAnsi="仿宋_GB2312" w:eastAsia="仿宋_GB2312" w:cs="仿宋_GB2312"/>
          <w:i w:val="0"/>
          <w:iCs w:val="0"/>
          <w:caps w:val="0"/>
          <w:color w:val="auto"/>
          <w:spacing w:val="0"/>
          <w:sz w:val="32"/>
          <w:szCs w:val="32"/>
          <w:highlight w:val="none"/>
          <w:lang w:val="en-US" w:eastAsia="zh-CN"/>
        </w:rPr>
        <w:t>中选候选人</w:t>
      </w:r>
      <w:r>
        <w:rPr>
          <w:rFonts w:hint="eastAsia" w:ascii="仿宋_GB2312" w:hAnsi="仿宋_GB2312" w:eastAsia="仿宋_GB2312" w:cs="仿宋_GB2312"/>
          <w:i w:val="0"/>
          <w:iCs w:val="0"/>
          <w:caps w:val="0"/>
          <w:color w:val="auto"/>
          <w:spacing w:val="0"/>
          <w:sz w:val="32"/>
          <w:szCs w:val="32"/>
          <w:highlight w:val="none"/>
        </w:rPr>
        <w:t>应在</w:t>
      </w:r>
      <w:r>
        <w:rPr>
          <w:rFonts w:hint="eastAsia" w:ascii="仿宋_GB2312" w:hAnsi="仿宋_GB2312" w:eastAsia="仿宋_GB2312" w:cs="仿宋_GB2312"/>
          <w:i w:val="0"/>
          <w:iCs w:val="0"/>
          <w:caps w:val="0"/>
          <w:color w:val="auto"/>
          <w:spacing w:val="0"/>
          <w:sz w:val="32"/>
          <w:szCs w:val="32"/>
          <w:highlight w:val="none"/>
          <w:lang w:val="en-US" w:eastAsia="zh-CN"/>
        </w:rPr>
        <w:t>10</w:t>
      </w:r>
      <w:r>
        <w:rPr>
          <w:rFonts w:hint="eastAsia" w:ascii="仿宋_GB2312" w:hAnsi="仿宋_GB2312" w:eastAsia="仿宋_GB2312" w:cs="仿宋_GB2312"/>
          <w:i w:val="0"/>
          <w:iCs w:val="0"/>
          <w:caps w:val="0"/>
          <w:color w:val="auto"/>
          <w:spacing w:val="0"/>
          <w:sz w:val="32"/>
          <w:szCs w:val="32"/>
          <w:highlight w:val="none"/>
        </w:rPr>
        <w:t>个工作日内签订</w:t>
      </w:r>
      <w:r>
        <w:rPr>
          <w:rFonts w:hint="eastAsia" w:ascii="仿宋_GB2312" w:hAnsi="仿宋_GB2312" w:eastAsia="仿宋_GB2312" w:cs="仿宋_GB2312"/>
          <w:i w:val="0"/>
          <w:iCs w:val="0"/>
          <w:caps w:val="0"/>
          <w:color w:val="auto"/>
          <w:spacing w:val="0"/>
          <w:sz w:val="32"/>
          <w:szCs w:val="32"/>
          <w:highlight w:val="none"/>
          <w:lang w:val="en-US" w:eastAsia="zh-CN"/>
        </w:rPr>
        <w:t>协议</w:t>
      </w:r>
      <w:r>
        <w:rPr>
          <w:rFonts w:hint="eastAsia" w:ascii="仿宋_GB2312" w:hAnsi="仿宋_GB2312" w:eastAsia="仿宋_GB2312" w:cs="仿宋_GB2312"/>
          <w:i w:val="0"/>
          <w:iCs w:val="0"/>
          <w:caps w:val="0"/>
          <w:color w:val="auto"/>
          <w:spacing w:val="0"/>
          <w:sz w:val="32"/>
          <w:szCs w:val="32"/>
          <w:highlight w:val="none"/>
        </w:rPr>
        <w:t>，否则将视同自愿放弃</w:t>
      </w:r>
      <w:r>
        <w:rPr>
          <w:rFonts w:hint="eastAsia" w:ascii="仿宋_GB2312" w:hAnsi="仿宋_GB2312" w:eastAsia="仿宋_GB2312" w:cs="仿宋_GB2312"/>
          <w:i w:val="0"/>
          <w:iCs w:val="0"/>
          <w:caps w:val="0"/>
          <w:color w:val="auto"/>
          <w:spacing w:val="0"/>
          <w:sz w:val="32"/>
          <w:szCs w:val="32"/>
          <w:highlight w:val="none"/>
          <w:lang w:val="en-US" w:eastAsia="zh-CN"/>
        </w:rPr>
        <w:t>中选</w:t>
      </w:r>
      <w:r>
        <w:rPr>
          <w:rFonts w:hint="eastAsia" w:ascii="仿宋_GB2312" w:hAnsi="仿宋_GB2312" w:eastAsia="仿宋_GB2312" w:cs="仿宋_GB2312"/>
          <w:i w:val="0"/>
          <w:iCs w:val="0"/>
          <w:caps w:val="0"/>
          <w:color w:val="auto"/>
          <w:spacing w:val="0"/>
          <w:sz w:val="32"/>
          <w:szCs w:val="32"/>
          <w:highlight w:val="none"/>
        </w:rPr>
        <w:t>资格。</w:t>
      </w:r>
    </w:p>
    <w:p w14:paraId="7F5A832B">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六、比选程序</w:t>
      </w:r>
    </w:p>
    <w:p w14:paraId="548A8ACD">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一</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比选小组</w:t>
      </w:r>
    </w:p>
    <w:p w14:paraId="26A602F6">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比选小组由</w:t>
      </w:r>
      <w:r>
        <w:rPr>
          <w:rFonts w:hint="eastAsia" w:ascii="仿宋_GB2312" w:hAnsi="仿宋_GB2312" w:eastAsia="仿宋_GB2312" w:cs="仿宋_GB2312"/>
          <w:i w:val="0"/>
          <w:iCs w:val="0"/>
          <w:caps w:val="0"/>
          <w:color w:val="auto"/>
          <w:spacing w:val="0"/>
          <w:sz w:val="32"/>
          <w:szCs w:val="32"/>
          <w:highlight w:val="none"/>
          <w:lang w:val="en-US" w:eastAsia="zh-CN"/>
        </w:rPr>
        <w:t>四川省健康促进基金会（采购人）陈佳曦、赖倩、曾筱晋、蒋欣言、曾馨5</w:t>
      </w:r>
      <w:r>
        <w:rPr>
          <w:rFonts w:hint="eastAsia" w:ascii="仿宋_GB2312" w:hAnsi="仿宋_GB2312" w:eastAsia="仿宋_GB2312" w:cs="仿宋_GB2312"/>
          <w:i w:val="0"/>
          <w:iCs w:val="0"/>
          <w:caps w:val="0"/>
          <w:color w:val="auto"/>
          <w:spacing w:val="0"/>
          <w:sz w:val="32"/>
          <w:szCs w:val="32"/>
          <w:highlight w:val="none"/>
        </w:rPr>
        <w:t>人组成。</w:t>
      </w:r>
      <w:r>
        <w:rPr>
          <w:rFonts w:hint="eastAsia" w:ascii="仿宋_GB2312" w:hAnsi="仿宋_GB2312" w:eastAsia="仿宋_GB2312" w:cs="仿宋_GB2312"/>
          <w:i w:val="0"/>
          <w:iCs w:val="0"/>
          <w:caps w:val="0"/>
          <w:color w:val="auto"/>
          <w:spacing w:val="0"/>
          <w:sz w:val="32"/>
          <w:szCs w:val="32"/>
          <w:highlight w:val="none"/>
          <w:lang w:val="en-US" w:eastAsia="zh-CN"/>
        </w:rPr>
        <w:t>由副秘书长陈佳曦担任</w:t>
      </w:r>
      <w:r>
        <w:rPr>
          <w:rFonts w:hint="eastAsia" w:ascii="仿宋_GB2312" w:hAnsi="仿宋_GB2312" w:eastAsia="仿宋_GB2312" w:cs="仿宋_GB2312"/>
          <w:i w:val="0"/>
          <w:iCs w:val="0"/>
          <w:caps w:val="0"/>
          <w:color w:val="auto"/>
          <w:spacing w:val="0"/>
          <w:sz w:val="32"/>
          <w:szCs w:val="32"/>
          <w:highlight w:val="none"/>
        </w:rPr>
        <w:t>比选小组组长。</w:t>
      </w:r>
    </w:p>
    <w:p w14:paraId="5770D916">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二</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比选会议的监督</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本次比选会议邀请</w:t>
      </w:r>
      <w:r>
        <w:rPr>
          <w:rFonts w:hint="eastAsia" w:ascii="仿宋_GB2312" w:hAnsi="仿宋_GB2312" w:eastAsia="仿宋_GB2312" w:cs="仿宋_GB2312"/>
          <w:i w:val="0"/>
          <w:iCs w:val="0"/>
          <w:caps w:val="0"/>
          <w:color w:val="auto"/>
          <w:spacing w:val="0"/>
          <w:sz w:val="32"/>
          <w:szCs w:val="32"/>
          <w:highlight w:val="none"/>
          <w:lang w:val="en-US" w:eastAsia="zh-CN"/>
        </w:rPr>
        <w:t>侯玉妍</w:t>
      </w:r>
      <w:r>
        <w:rPr>
          <w:rFonts w:hint="eastAsia" w:ascii="仿宋_GB2312" w:hAnsi="仿宋_GB2312" w:eastAsia="仿宋_GB2312" w:cs="仿宋_GB2312"/>
          <w:i w:val="0"/>
          <w:iCs w:val="0"/>
          <w:caps w:val="0"/>
          <w:color w:val="auto"/>
          <w:spacing w:val="0"/>
          <w:sz w:val="32"/>
          <w:szCs w:val="32"/>
          <w:highlight w:val="none"/>
        </w:rPr>
        <w:t>参与，全程监督。</w:t>
      </w:r>
    </w:p>
    <w:p w14:paraId="51A390AE">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三</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比选会议按比选文件规定的时间和地点进行。</w:t>
      </w:r>
      <w:r>
        <w:rPr>
          <w:rFonts w:hint="eastAsia" w:ascii="仿宋_GB2312" w:hAnsi="仿宋_GB2312" w:eastAsia="仿宋_GB2312" w:cs="仿宋_GB2312"/>
          <w:i w:val="0"/>
          <w:iCs w:val="0"/>
          <w:caps w:val="0"/>
          <w:color w:val="auto"/>
          <w:spacing w:val="0"/>
          <w:sz w:val="32"/>
          <w:szCs w:val="32"/>
          <w:highlight w:val="none"/>
          <w:lang w:val="en-US" w:eastAsia="zh-CN"/>
        </w:rPr>
        <w:t>提交比选响应文件的</w:t>
      </w:r>
      <w:r>
        <w:rPr>
          <w:rFonts w:hint="eastAsia" w:ascii="仿宋_GB2312" w:hAnsi="仿宋_GB2312" w:eastAsia="仿宋_GB2312" w:cs="仿宋_GB2312"/>
          <w:i w:val="0"/>
          <w:iCs w:val="0"/>
          <w:caps w:val="0"/>
          <w:color w:val="auto"/>
          <w:spacing w:val="0"/>
          <w:sz w:val="32"/>
          <w:szCs w:val="32"/>
          <w:highlight w:val="none"/>
        </w:rPr>
        <w:t>竞选人应达到三家或超过三家召开比选会。因特殊情况，如竞选人</w:t>
      </w:r>
      <w:r>
        <w:rPr>
          <w:rFonts w:hint="eastAsia" w:ascii="仿宋_GB2312" w:hAnsi="仿宋_GB2312" w:eastAsia="仿宋_GB2312" w:cs="仿宋_GB2312"/>
          <w:i w:val="0"/>
          <w:iCs w:val="0"/>
          <w:caps w:val="0"/>
          <w:color w:val="auto"/>
          <w:spacing w:val="0"/>
          <w:sz w:val="32"/>
          <w:szCs w:val="32"/>
          <w:highlight w:val="none"/>
          <w:lang w:val="en-US" w:eastAsia="zh-CN"/>
        </w:rPr>
        <w:t>不足三</w:t>
      </w:r>
      <w:r>
        <w:rPr>
          <w:rFonts w:hint="eastAsia" w:ascii="仿宋_GB2312" w:hAnsi="仿宋_GB2312" w:eastAsia="仿宋_GB2312" w:cs="仿宋_GB2312"/>
          <w:i w:val="0"/>
          <w:iCs w:val="0"/>
          <w:caps w:val="0"/>
          <w:color w:val="auto"/>
          <w:spacing w:val="0"/>
          <w:sz w:val="32"/>
          <w:szCs w:val="32"/>
          <w:highlight w:val="none"/>
        </w:rPr>
        <w:t>家，比选小组认为具有竞争性可以投票表决决定是否继续进行比选，票数超过三分之二的则继续进行比选。</w:t>
      </w:r>
    </w:p>
    <w:p w14:paraId="54C2C31F">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四</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至文件递交截止时间，比选人组织召开比选会议。现场查验各文件情况后，开启文件</w:t>
      </w:r>
      <w:r>
        <w:rPr>
          <w:rFonts w:hint="eastAsia" w:ascii="仿宋_GB2312" w:hAnsi="仿宋_GB2312" w:eastAsia="仿宋_GB2312" w:cs="仿宋_GB2312"/>
          <w:i w:val="0"/>
          <w:iCs w:val="0"/>
          <w:caps w:val="0"/>
          <w:color w:val="auto"/>
          <w:spacing w:val="0"/>
          <w:sz w:val="32"/>
          <w:szCs w:val="32"/>
          <w:highlight w:val="none"/>
          <w:lang w:val="en-US" w:eastAsia="zh-CN"/>
        </w:rPr>
        <w:t>并开展评审工作</w:t>
      </w:r>
      <w:r>
        <w:rPr>
          <w:rFonts w:hint="eastAsia" w:ascii="仿宋_GB2312" w:hAnsi="仿宋_GB2312" w:eastAsia="仿宋_GB2312" w:cs="仿宋_GB2312"/>
          <w:i w:val="0"/>
          <w:iCs w:val="0"/>
          <w:caps w:val="0"/>
          <w:color w:val="auto"/>
          <w:spacing w:val="0"/>
          <w:sz w:val="32"/>
          <w:szCs w:val="32"/>
          <w:highlight w:val="none"/>
        </w:rPr>
        <w:t>。比选小组成员对供应商</w:t>
      </w:r>
      <w:r>
        <w:rPr>
          <w:rFonts w:hint="eastAsia" w:ascii="仿宋_GB2312" w:hAnsi="仿宋_GB2312" w:eastAsia="仿宋_GB2312" w:cs="仿宋_GB2312"/>
          <w:i w:val="0"/>
          <w:iCs w:val="0"/>
          <w:caps w:val="0"/>
          <w:color w:val="auto"/>
          <w:spacing w:val="0"/>
          <w:sz w:val="32"/>
          <w:szCs w:val="32"/>
          <w:highlight w:val="none"/>
          <w:lang w:val="en-US" w:eastAsia="zh-CN"/>
        </w:rPr>
        <w:t>报价进行计分</w:t>
      </w:r>
      <w:r>
        <w:rPr>
          <w:rFonts w:hint="eastAsia" w:ascii="仿宋_GB2312" w:hAnsi="仿宋_GB2312" w:eastAsia="仿宋_GB2312" w:cs="仿宋_GB2312"/>
          <w:i w:val="0"/>
          <w:iCs w:val="0"/>
          <w:caps w:val="0"/>
          <w:color w:val="auto"/>
          <w:spacing w:val="0"/>
          <w:sz w:val="32"/>
          <w:szCs w:val="32"/>
          <w:highlight w:val="none"/>
        </w:rPr>
        <w:t>。</w:t>
      </w:r>
    </w:p>
    <w:p w14:paraId="7544342F">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五</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推荐中选候选人名单。评审结束后，比选小组对满足比选文件实质性要求的文件，按照经评审的结果进行顺序排名。比选小组应推荐排名第一名的竞选人为中选候选人，并经比选小组成员签字确认。确认中选人后应</w:t>
      </w:r>
      <w:r>
        <w:rPr>
          <w:rFonts w:hint="eastAsia" w:ascii="仿宋_GB2312" w:hAnsi="仿宋_GB2312" w:eastAsia="仿宋_GB2312" w:cs="仿宋_GB2312"/>
          <w:i w:val="0"/>
          <w:iCs w:val="0"/>
          <w:caps w:val="0"/>
          <w:color w:val="auto"/>
          <w:spacing w:val="0"/>
          <w:sz w:val="32"/>
          <w:szCs w:val="32"/>
          <w:highlight w:val="none"/>
          <w:lang w:val="en-US" w:eastAsia="zh-CN"/>
        </w:rPr>
        <w:t>在官网公示</w:t>
      </w:r>
      <w:r>
        <w:rPr>
          <w:rFonts w:hint="eastAsia" w:ascii="仿宋_GB2312" w:hAnsi="仿宋_GB2312" w:eastAsia="仿宋_GB2312" w:cs="仿宋_GB2312"/>
          <w:i w:val="0"/>
          <w:iCs w:val="0"/>
          <w:caps w:val="0"/>
          <w:color w:val="auto"/>
          <w:spacing w:val="0"/>
          <w:sz w:val="32"/>
          <w:szCs w:val="32"/>
          <w:highlight w:val="none"/>
        </w:rPr>
        <w:t>中选供应商</w:t>
      </w:r>
      <w:r>
        <w:rPr>
          <w:rFonts w:hint="eastAsia" w:ascii="仿宋_GB2312" w:hAnsi="仿宋_GB2312" w:eastAsia="仿宋_GB2312" w:cs="仿宋_GB2312"/>
          <w:i w:val="0"/>
          <w:iCs w:val="0"/>
          <w:caps w:val="0"/>
          <w:color w:val="auto"/>
          <w:spacing w:val="0"/>
          <w:sz w:val="32"/>
          <w:szCs w:val="32"/>
          <w:highlight w:val="none"/>
          <w:lang w:val="en-US" w:eastAsia="zh-CN"/>
        </w:rPr>
        <w:t>名单</w:t>
      </w:r>
      <w:r>
        <w:rPr>
          <w:rFonts w:hint="eastAsia" w:ascii="仿宋_GB2312" w:hAnsi="仿宋_GB2312" w:eastAsia="仿宋_GB2312" w:cs="仿宋_GB2312"/>
          <w:i w:val="0"/>
          <w:iCs w:val="0"/>
          <w:caps w:val="0"/>
          <w:color w:val="auto"/>
          <w:spacing w:val="0"/>
          <w:sz w:val="32"/>
          <w:szCs w:val="32"/>
          <w:highlight w:val="none"/>
        </w:rPr>
        <w:t>。</w:t>
      </w:r>
    </w:p>
    <w:p w14:paraId="262296D0">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七、提交竞选文件截止时间、比选时间和地点</w:t>
      </w:r>
    </w:p>
    <w:p w14:paraId="4D118A4F">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Cs/>
          <w:color w:val="auto"/>
          <w:sz w:val="32"/>
          <w:szCs w:val="32"/>
          <w:highlight w:val="none"/>
          <w:u w:val="single"/>
          <w:lang w:val="en-US" w:eastAsia="zh-CN"/>
        </w:rPr>
      </w:pPr>
      <w:r>
        <w:rPr>
          <w:rFonts w:hint="eastAsia" w:ascii="仿宋_GB2312" w:hAnsi="仿宋_GB2312" w:eastAsia="仿宋_GB2312" w:cs="仿宋_GB2312"/>
          <w:color w:val="auto"/>
          <w:sz w:val="32"/>
          <w:szCs w:val="32"/>
          <w:highlight w:val="none"/>
        </w:rPr>
        <w:t>截止时间：</w:t>
      </w:r>
      <w:r>
        <w:rPr>
          <w:rFonts w:hint="eastAsia" w:ascii="仿宋_GB2312" w:hAnsi="仿宋_GB2312" w:eastAsia="仿宋_GB2312" w:cs="仿宋_GB2312"/>
          <w:bCs/>
          <w:color w:val="auto"/>
          <w:sz w:val="32"/>
          <w:szCs w:val="32"/>
          <w:highlight w:val="none"/>
          <w:u w:val="single"/>
        </w:rPr>
        <w:t>202</w:t>
      </w:r>
      <w:r>
        <w:rPr>
          <w:rFonts w:hint="eastAsia" w:ascii="仿宋_GB2312" w:hAnsi="仿宋_GB2312" w:eastAsia="仿宋_GB2312" w:cs="仿宋_GB2312"/>
          <w:bCs/>
          <w:color w:val="auto"/>
          <w:sz w:val="32"/>
          <w:szCs w:val="32"/>
          <w:highlight w:val="none"/>
          <w:u w:val="single"/>
          <w:lang w:val="en-US" w:eastAsia="zh-CN"/>
        </w:rPr>
        <w:t>6</w:t>
      </w:r>
      <w:r>
        <w:rPr>
          <w:rFonts w:hint="eastAsia" w:ascii="仿宋_GB2312" w:hAnsi="仿宋_GB2312" w:eastAsia="仿宋_GB2312" w:cs="仿宋_GB2312"/>
          <w:bCs/>
          <w:color w:val="auto"/>
          <w:sz w:val="32"/>
          <w:szCs w:val="32"/>
          <w:highlight w:val="none"/>
          <w:u w:val="single"/>
        </w:rPr>
        <w:t>年</w:t>
      </w:r>
      <w:r>
        <w:rPr>
          <w:rFonts w:hint="eastAsia" w:ascii="仿宋_GB2312" w:hAnsi="仿宋_GB2312" w:eastAsia="仿宋_GB2312" w:cs="仿宋_GB2312"/>
          <w:bCs/>
          <w:color w:val="auto"/>
          <w:sz w:val="32"/>
          <w:szCs w:val="32"/>
          <w:highlight w:val="none"/>
          <w:u w:val="single"/>
          <w:lang w:val="en-US" w:eastAsia="zh-CN"/>
        </w:rPr>
        <w:t>11</w:t>
      </w:r>
      <w:r>
        <w:rPr>
          <w:rFonts w:hint="eastAsia" w:ascii="仿宋_GB2312" w:hAnsi="仿宋_GB2312" w:eastAsia="仿宋_GB2312" w:cs="仿宋_GB2312"/>
          <w:bCs/>
          <w:color w:val="auto"/>
          <w:sz w:val="32"/>
          <w:szCs w:val="32"/>
          <w:highlight w:val="none"/>
          <w:u w:val="single"/>
        </w:rPr>
        <w:t>月</w:t>
      </w:r>
      <w:r>
        <w:rPr>
          <w:rFonts w:hint="eastAsia" w:ascii="仿宋_GB2312" w:hAnsi="仿宋_GB2312" w:eastAsia="仿宋_GB2312" w:cs="仿宋_GB2312"/>
          <w:bCs/>
          <w:color w:val="auto"/>
          <w:sz w:val="32"/>
          <w:szCs w:val="32"/>
          <w:highlight w:val="none"/>
          <w:u w:val="single"/>
          <w:lang w:val="en-US" w:eastAsia="zh-CN"/>
        </w:rPr>
        <w:t>6</w:t>
      </w:r>
      <w:r>
        <w:rPr>
          <w:rFonts w:hint="eastAsia" w:ascii="仿宋_GB2312" w:hAnsi="仿宋_GB2312" w:eastAsia="仿宋_GB2312" w:cs="仿宋_GB2312"/>
          <w:bCs/>
          <w:color w:val="auto"/>
          <w:sz w:val="32"/>
          <w:szCs w:val="32"/>
          <w:highlight w:val="none"/>
          <w:u w:val="single"/>
        </w:rPr>
        <w:t>日10点00分</w:t>
      </w:r>
      <w:r>
        <w:rPr>
          <w:rFonts w:hint="eastAsia" w:ascii="仿宋_GB2312" w:hAnsi="仿宋_GB2312" w:eastAsia="仿宋_GB2312" w:cs="仿宋_GB2312"/>
          <w:bCs/>
          <w:color w:val="auto"/>
          <w:sz w:val="32"/>
          <w:szCs w:val="32"/>
          <w:highlight w:val="none"/>
        </w:rPr>
        <w:t>（北京时间）</w:t>
      </w:r>
    </w:p>
    <w:p w14:paraId="30C7540B">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u w:val="single"/>
        </w:rPr>
      </w:pPr>
      <w:r>
        <w:rPr>
          <w:rFonts w:hint="eastAsia" w:ascii="仿宋_GB2312" w:hAnsi="仿宋_GB2312" w:eastAsia="仿宋_GB2312" w:cs="仿宋_GB2312"/>
          <w:color w:val="auto"/>
          <w:sz w:val="32"/>
          <w:szCs w:val="32"/>
          <w:highlight w:val="none"/>
          <w:lang w:val="en-US" w:eastAsia="zh-CN"/>
        </w:rPr>
        <w:t>比选</w:t>
      </w:r>
      <w:r>
        <w:rPr>
          <w:rFonts w:hint="eastAsia" w:ascii="仿宋_GB2312" w:hAnsi="仿宋_GB2312" w:eastAsia="仿宋_GB2312" w:cs="仿宋_GB2312"/>
          <w:color w:val="auto"/>
          <w:sz w:val="32"/>
          <w:szCs w:val="32"/>
          <w:highlight w:val="none"/>
        </w:rPr>
        <w:t>地点：</w:t>
      </w:r>
      <w:r>
        <w:rPr>
          <w:rFonts w:hint="eastAsia" w:ascii="仿宋_GB2312" w:hAnsi="仿宋_GB2312" w:eastAsia="仿宋_GB2312" w:cs="仿宋_GB2312"/>
          <w:color w:val="auto"/>
          <w:sz w:val="32"/>
          <w:szCs w:val="32"/>
          <w:highlight w:val="none"/>
          <w:u w:val="single"/>
        </w:rPr>
        <w:t>成都市青羊区金盾路52号国栋大厦</w:t>
      </w:r>
      <w:r>
        <w:rPr>
          <w:rFonts w:hint="eastAsia" w:ascii="仿宋_GB2312" w:hAnsi="仿宋_GB2312" w:eastAsia="仿宋_GB2312" w:cs="仿宋_GB2312"/>
          <w:color w:val="auto"/>
          <w:sz w:val="32"/>
          <w:szCs w:val="32"/>
          <w:highlight w:val="none"/>
          <w:u w:val="single"/>
          <w:lang w:val="en-US" w:eastAsia="zh-CN"/>
        </w:rPr>
        <w:t>9</w:t>
      </w:r>
      <w:r>
        <w:rPr>
          <w:rFonts w:hint="eastAsia" w:ascii="仿宋_GB2312" w:hAnsi="仿宋_GB2312" w:eastAsia="仿宋_GB2312" w:cs="仿宋_GB2312"/>
          <w:color w:val="auto"/>
          <w:sz w:val="32"/>
          <w:szCs w:val="32"/>
          <w:highlight w:val="none"/>
          <w:u w:val="single"/>
        </w:rPr>
        <w:t>楼</w:t>
      </w:r>
      <w:r>
        <w:rPr>
          <w:rFonts w:hint="eastAsia" w:ascii="仿宋_GB2312" w:hAnsi="仿宋_GB2312" w:eastAsia="仿宋_GB2312" w:cs="仿宋_GB2312"/>
          <w:color w:val="auto"/>
          <w:sz w:val="32"/>
          <w:szCs w:val="32"/>
          <w:highlight w:val="none"/>
          <w:u w:val="single"/>
          <w:lang w:val="en-US" w:eastAsia="zh-CN"/>
        </w:rPr>
        <w:t>D</w:t>
      </w:r>
      <w:r>
        <w:rPr>
          <w:rFonts w:hint="eastAsia" w:ascii="仿宋_GB2312" w:hAnsi="仿宋_GB2312" w:eastAsia="仿宋_GB2312" w:cs="仿宋_GB2312"/>
          <w:color w:val="auto"/>
          <w:sz w:val="32"/>
          <w:szCs w:val="32"/>
          <w:highlight w:val="none"/>
          <w:u w:val="single"/>
        </w:rPr>
        <w:t>座</w:t>
      </w:r>
    </w:p>
    <w:p w14:paraId="6BDB978C">
      <w:pPr>
        <w:keepNext w:val="0"/>
        <w:keepLines w:val="0"/>
        <w:pageBreakBefore w:val="0"/>
        <w:kinsoku/>
        <w:wordWrap/>
        <w:overflowPunct/>
        <w:topLinePunct w:val="0"/>
        <w:autoSpaceDE/>
        <w:autoSpaceDN/>
        <w:bidi w:val="0"/>
        <w:adjustRightInd/>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rPr>
        <w:t>比选申请文件必须在递交截止时间前送达指定地点，逾期送达或密封和标注不符合比选文件规定的比选申请文件恕不接受</w:t>
      </w:r>
      <w:r>
        <w:rPr>
          <w:rFonts w:hint="eastAsia" w:ascii="仿宋_GB2312" w:hAnsi="仿宋_GB2312" w:eastAsia="仿宋_GB2312" w:cs="仿宋_GB2312"/>
          <w:color w:val="auto"/>
          <w:sz w:val="32"/>
          <w:szCs w:val="32"/>
          <w:highlight w:val="none"/>
          <w:u w:val="none"/>
          <w:lang w:eastAsia="zh-CN"/>
        </w:rPr>
        <w:t>。</w:t>
      </w:r>
    </w:p>
    <w:p w14:paraId="6444347C">
      <w:pPr>
        <w:keepNext w:val="0"/>
        <w:keepLines w:val="0"/>
        <w:pageBreakBefore w:val="0"/>
        <w:widowControl/>
        <w:kinsoku/>
        <w:wordWrap/>
        <w:overflowPunct/>
        <w:topLinePunct w:val="0"/>
        <w:autoSpaceDE/>
        <w:autoSpaceDN/>
        <w:bidi w:val="0"/>
        <w:adjustRightInd/>
        <w:snapToGrid w:val="0"/>
        <w:spacing w:beforeAutospacing="0" w:afterAutospacing="0"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八、答疑</w:t>
      </w:r>
    </w:p>
    <w:p w14:paraId="0FBBD75D">
      <w:pPr>
        <w:pStyle w:val="11"/>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竞选人对比选文件有疑问，应在202</w:t>
      </w:r>
      <w:r>
        <w:rPr>
          <w:rFonts w:hint="eastAsia" w:ascii="仿宋_GB2312" w:hAnsi="仿宋_GB2312" w:eastAsia="仿宋_GB2312" w:cs="仿宋_GB2312"/>
          <w:i w:val="0"/>
          <w:iCs w:val="0"/>
          <w:caps w:val="0"/>
          <w:color w:val="auto"/>
          <w:spacing w:val="0"/>
          <w:sz w:val="32"/>
          <w:szCs w:val="32"/>
          <w:highlight w:val="none"/>
          <w:lang w:val="en-US" w:eastAsia="zh-CN"/>
        </w:rPr>
        <w:t>6</w:t>
      </w:r>
      <w:r>
        <w:rPr>
          <w:rFonts w:hint="eastAsia" w:ascii="仿宋_GB2312" w:hAnsi="仿宋_GB2312" w:eastAsia="仿宋_GB2312" w:cs="仿宋_GB2312"/>
          <w:i w:val="0"/>
          <w:iCs w:val="0"/>
          <w:caps w:val="0"/>
          <w:color w:val="auto"/>
          <w:spacing w:val="0"/>
          <w:sz w:val="32"/>
          <w:szCs w:val="32"/>
          <w:highlight w:val="none"/>
        </w:rPr>
        <w:t>年</w:t>
      </w:r>
      <w:r>
        <w:rPr>
          <w:rFonts w:hint="eastAsia" w:ascii="仿宋_GB2312" w:hAnsi="仿宋_GB2312" w:eastAsia="仿宋_GB2312" w:cs="仿宋_GB2312"/>
          <w:i w:val="0"/>
          <w:iCs w:val="0"/>
          <w:caps w:val="0"/>
          <w:color w:val="FF0000"/>
          <w:spacing w:val="0"/>
          <w:sz w:val="32"/>
          <w:szCs w:val="32"/>
          <w:highlight w:val="none"/>
          <w:lang w:val="en-US" w:eastAsia="zh-CN"/>
        </w:rPr>
        <w:t>11</w:t>
      </w:r>
      <w:r>
        <w:rPr>
          <w:rFonts w:hint="eastAsia" w:ascii="仿宋_GB2312" w:hAnsi="仿宋_GB2312" w:eastAsia="仿宋_GB2312" w:cs="仿宋_GB2312"/>
          <w:i w:val="0"/>
          <w:iCs w:val="0"/>
          <w:caps w:val="0"/>
          <w:color w:val="FF0000"/>
          <w:spacing w:val="0"/>
          <w:sz w:val="32"/>
          <w:szCs w:val="32"/>
          <w:highlight w:val="none"/>
        </w:rPr>
        <w:t>月</w:t>
      </w:r>
      <w:r>
        <w:rPr>
          <w:rFonts w:hint="eastAsia" w:ascii="仿宋_GB2312" w:hAnsi="仿宋_GB2312" w:eastAsia="仿宋_GB2312" w:cs="仿宋_GB2312"/>
          <w:i w:val="0"/>
          <w:iCs w:val="0"/>
          <w:caps w:val="0"/>
          <w:color w:val="FF0000"/>
          <w:spacing w:val="0"/>
          <w:sz w:val="32"/>
          <w:szCs w:val="32"/>
          <w:highlight w:val="none"/>
          <w:lang w:val="en-US" w:eastAsia="zh-CN"/>
        </w:rPr>
        <w:t>2</w:t>
      </w:r>
      <w:r>
        <w:rPr>
          <w:rFonts w:hint="eastAsia" w:ascii="仿宋_GB2312" w:hAnsi="仿宋_GB2312" w:eastAsia="仿宋_GB2312" w:cs="仿宋_GB2312"/>
          <w:i w:val="0"/>
          <w:iCs w:val="0"/>
          <w:caps w:val="0"/>
          <w:color w:val="FF0000"/>
          <w:spacing w:val="0"/>
          <w:sz w:val="32"/>
          <w:szCs w:val="32"/>
          <w:highlight w:val="none"/>
        </w:rPr>
        <w:t>日12:00</w:t>
      </w:r>
      <w:r>
        <w:rPr>
          <w:rFonts w:hint="eastAsia" w:ascii="仿宋_GB2312" w:hAnsi="仿宋_GB2312" w:eastAsia="仿宋_GB2312" w:cs="仿宋_GB2312"/>
          <w:i w:val="0"/>
          <w:iCs w:val="0"/>
          <w:caps w:val="0"/>
          <w:color w:val="auto"/>
          <w:spacing w:val="0"/>
          <w:sz w:val="32"/>
          <w:szCs w:val="32"/>
          <w:highlight w:val="none"/>
        </w:rPr>
        <w:t>前以书面形式（信函、传真、电子邮件）要求比选人答疑，信函邮寄地址、传真、电子邮件见本章“联系方式”条款。比选人于202</w:t>
      </w:r>
      <w:r>
        <w:rPr>
          <w:rFonts w:hint="eastAsia" w:ascii="仿宋_GB2312" w:hAnsi="仿宋_GB2312" w:eastAsia="仿宋_GB2312" w:cs="仿宋_GB2312"/>
          <w:i w:val="0"/>
          <w:iCs w:val="0"/>
          <w:caps w:val="0"/>
          <w:color w:val="auto"/>
          <w:spacing w:val="0"/>
          <w:sz w:val="32"/>
          <w:szCs w:val="32"/>
          <w:highlight w:val="none"/>
          <w:lang w:val="en-US" w:eastAsia="zh-CN"/>
        </w:rPr>
        <w:t>6</w:t>
      </w:r>
      <w:r>
        <w:rPr>
          <w:rFonts w:hint="eastAsia" w:ascii="仿宋_GB2312" w:hAnsi="仿宋_GB2312" w:eastAsia="仿宋_GB2312" w:cs="仿宋_GB2312"/>
          <w:i w:val="0"/>
          <w:iCs w:val="0"/>
          <w:caps w:val="0"/>
          <w:color w:val="auto"/>
          <w:spacing w:val="0"/>
          <w:sz w:val="32"/>
          <w:szCs w:val="32"/>
          <w:highlight w:val="none"/>
        </w:rPr>
        <w:t>年</w:t>
      </w:r>
      <w:r>
        <w:rPr>
          <w:rFonts w:hint="eastAsia" w:ascii="仿宋_GB2312" w:hAnsi="仿宋_GB2312" w:eastAsia="仿宋_GB2312" w:cs="仿宋_GB2312"/>
          <w:i w:val="0"/>
          <w:iCs w:val="0"/>
          <w:caps w:val="0"/>
          <w:color w:val="FF0000"/>
          <w:spacing w:val="0"/>
          <w:sz w:val="32"/>
          <w:szCs w:val="32"/>
          <w:highlight w:val="none"/>
          <w:lang w:val="en-US" w:eastAsia="zh-CN"/>
        </w:rPr>
        <w:t>11</w:t>
      </w:r>
      <w:r>
        <w:rPr>
          <w:rFonts w:hint="eastAsia" w:ascii="仿宋_GB2312" w:hAnsi="仿宋_GB2312" w:eastAsia="仿宋_GB2312" w:cs="仿宋_GB2312"/>
          <w:i w:val="0"/>
          <w:iCs w:val="0"/>
          <w:caps w:val="0"/>
          <w:color w:val="FF0000"/>
          <w:spacing w:val="0"/>
          <w:sz w:val="32"/>
          <w:szCs w:val="32"/>
          <w:highlight w:val="none"/>
        </w:rPr>
        <w:t>月</w:t>
      </w:r>
      <w:r>
        <w:rPr>
          <w:rFonts w:hint="eastAsia" w:ascii="仿宋_GB2312" w:hAnsi="仿宋_GB2312" w:eastAsia="仿宋_GB2312" w:cs="仿宋_GB2312"/>
          <w:i w:val="0"/>
          <w:iCs w:val="0"/>
          <w:caps w:val="0"/>
          <w:color w:val="FF0000"/>
          <w:spacing w:val="0"/>
          <w:sz w:val="32"/>
          <w:szCs w:val="32"/>
          <w:highlight w:val="none"/>
          <w:lang w:val="en-US" w:eastAsia="zh-CN"/>
        </w:rPr>
        <w:t>3</w:t>
      </w:r>
      <w:r>
        <w:rPr>
          <w:rFonts w:hint="eastAsia" w:ascii="仿宋_GB2312" w:hAnsi="仿宋_GB2312" w:eastAsia="仿宋_GB2312" w:cs="仿宋_GB2312"/>
          <w:i w:val="0"/>
          <w:iCs w:val="0"/>
          <w:caps w:val="0"/>
          <w:color w:val="FF0000"/>
          <w:spacing w:val="0"/>
          <w:sz w:val="32"/>
          <w:szCs w:val="32"/>
          <w:highlight w:val="none"/>
        </w:rPr>
        <w:t>日</w:t>
      </w:r>
      <w:r>
        <w:rPr>
          <w:rFonts w:hint="eastAsia" w:ascii="仿宋_GB2312" w:hAnsi="仿宋_GB2312" w:eastAsia="仿宋_GB2312" w:cs="仿宋_GB2312"/>
          <w:i w:val="0"/>
          <w:iCs w:val="0"/>
          <w:caps w:val="0"/>
          <w:color w:val="auto"/>
          <w:spacing w:val="0"/>
          <w:sz w:val="32"/>
          <w:szCs w:val="32"/>
          <w:highlight w:val="none"/>
        </w:rPr>
        <w:t>1</w:t>
      </w:r>
      <w:r>
        <w:rPr>
          <w:rFonts w:hint="eastAsia" w:ascii="仿宋_GB2312" w:hAnsi="仿宋_GB2312" w:eastAsia="仿宋_GB2312" w:cs="仿宋_GB2312"/>
          <w:i w:val="0"/>
          <w:iCs w:val="0"/>
          <w:caps w:val="0"/>
          <w:color w:val="auto"/>
          <w:spacing w:val="0"/>
          <w:sz w:val="32"/>
          <w:szCs w:val="32"/>
          <w:highlight w:val="none"/>
          <w:lang w:val="en-US" w:eastAsia="zh-CN"/>
        </w:rPr>
        <w:t>7</w:t>
      </w:r>
      <w:r>
        <w:rPr>
          <w:rFonts w:hint="eastAsia" w:ascii="仿宋_GB2312" w:hAnsi="仿宋_GB2312" w:eastAsia="仿宋_GB2312" w:cs="仿宋_GB2312"/>
          <w:i w:val="0"/>
          <w:iCs w:val="0"/>
          <w:caps w:val="0"/>
          <w:color w:val="auto"/>
          <w:spacing w:val="0"/>
          <w:sz w:val="32"/>
          <w:szCs w:val="32"/>
          <w:highlight w:val="none"/>
        </w:rPr>
        <w:t>:00前将答疑发布到</w:t>
      </w:r>
      <w:r>
        <w:rPr>
          <w:rFonts w:hint="eastAsia" w:ascii="仿宋_GB2312" w:hAnsi="仿宋_GB2312" w:eastAsia="仿宋_GB2312" w:cs="仿宋_GB2312"/>
          <w:i w:val="0"/>
          <w:iCs w:val="0"/>
          <w:caps w:val="0"/>
          <w:color w:val="auto"/>
          <w:spacing w:val="0"/>
          <w:sz w:val="32"/>
          <w:szCs w:val="32"/>
          <w:highlight w:val="none"/>
          <w:lang w:val="en-US" w:eastAsia="zh-CN"/>
        </w:rPr>
        <w:t>四川省健康促进基金会</w:t>
      </w:r>
      <w:r>
        <w:rPr>
          <w:rFonts w:hint="eastAsia" w:ascii="仿宋_GB2312" w:hAnsi="仿宋_GB2312" w:eastAsia="仿宋_GB2312" w:cs="仿宋_GB2312"/>
          <w:i w:val="0"/>
          <w:iCs w:val="0"/>
          <w:caps w:val="0"/>
          <w:color w:val="auto"/>
          <w:spacing w:val="0"/>
          <w:sz w:val="32"/>
          <w:szCs w:val="32"/>
          <w:highlight w:val="none"/>
        </w:rPr>
        <w:t>官网由竞选人自行下载。无论竞选人是否下载，均视为竞选人已知晓答疑内容，并全面了解和接受比选文件内容。</w:t>
      </w:r>
    </w:p>
    <w:p w14:paraId="6CE39C29">
      <w:pPr>
        <w:keepNext w:val="0"/>
        <w:keepLines w:val="0"/>
        <w:pageBreakBefore w:val="0"/>
        <w:widowControl/>
        <w:kinsoku/>
        <w:wordWrap/>
        <w:overflowPunct/>
        <w:topLinePunct w:val="0"/>
        <w:autoSpaceDE/>
        <w:autoSpaceDN/>
        <w:bidi w:val="0"/>
        <w:adjustRightInd/>
        <w:snapToGrid w:val="0"/>
        <w:spacing w:beforeAutospacing="0" w:afterAutospacing="0"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九、联系方式</w:t>
      </w:r>
    </w:p>
    <w:p w14:paraId="0E48524E">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比选人：</w:t>
      </w:r>
      <w:r>
        <w:rPr>
          <w:rFonts w:hint="eastAsia" w:ascii="仿宋_GB2312" w:hAnsi="仿宋_GB2312" w:eastAsia="仿宋_GB2312" w:cs="仿宋_GB2312"/>
          <w:color w:val="auto"/>
          <w:sz w:val="32"/>
          <w:szCs w:val="32"/>
          <w:highlight w:val="none"/>
          <w:lang w:val="en-US" w:eastAsia="zh-CN"/>
        </w:rPr>
        <w:t>四川省健康促进基金会</w:t>
      </w:r>
    </w:p>
    <w:p w14:paraId="07FFDEA0">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地址：成都市青羊区金盾路52号国栋大厦</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rPr>
        <w:t>楼</w:t>
      </w:r>
      <w:r>
        <w:rPr>
          <w:rFonts w:hint="eastAsia" w:ascii="仿宋_GB2312" w:hAnsi="仿宋_GB2312" w:eastAsia="仿宋_GB2312" w:cs="仿宋_GB2312"/>
          <w:color w:val="auto"/>
          <w:sz w:val="32"/>
          <w:szCs w:val="32"/>
          <w:highlight w:val="none"/>
          <w:lang w:val="en-US" w:eastAsia="zh-CN"/>
        </w:rPr>
        <w:t>D</w:t>
      </w:r>
      <w:r>
        <w:rPr>
          <w:rFonts w:hint="eastAsia" w:ascii="仿宋_GB2312" w:hAnsi="仿宋_GB2312" w:eastAsia="仿宋_GB2312" w:cs="仿宋_GB2312"/>
          <w:color w:val="auto"/>
          <w:sz w:val="32"/>
          <w:szCs w:val="32"/>
          <w:highlight w:val="none"/>
        </w:rPr>
        <w:t>座</w:t>
      </w:r>
    </w:p>
    <w:p w14:paraId="0079775D">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联系人：</w:t>
      </w:r>
      <w:r>
        <w:rPr>
          <w:rFonts w:hint="eastAsia" w:ascii="仿宋_GB2312" w:hAnsi="仿宋_GB2312" w:eastAsia="仿宋_GB2312" w:cs="仿宋_GB2312"/>
          <w:i w:val="0"/>
          <w:iCs w:val="0"/>
          <w:caps w:val="0"/>
          <w:color w:val="auto"/>
          <w:spacing w:val="0"/>
          <w:sz w:val="32"/>
          <w:szCs w:val="32"/>
          <w:highlight w:val="none"/>
          <w:lang w:val="en-US" w:eastAsia="zh-CN"/>
        </w:rPr>
        <w:t>曾老师</w:t>
      </w:r>
    </w:p>
    <w:p w14:paraId="13A2097D">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联系电话：028-</w:t>
      </w:r>
      <w:r>
        <w:rPr>
          <w:rFonts w:hint="eastAsia" w:ascii="仿宋_GB2312" w:hAnsi="仿宋_GB2312" w:eastAsia="仿宋_GB2312" w:cs="仿宋_GB2312"/>
          <w:color w:val="auto"/>
          <w:sz w:val="32"/>
          <w:szCs w:val="32"/>
          <w:highlight w:val="none"/>
          <w:lang w:val="en-US" w:eastAsia="zh-CN"/>
        </w:rPr>
        <w:t>87058129</w:t>
      </w:r>
    </w:p>
    <w:p w14:paraId="1D6B2B3C">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p>
    <w:p w14:paraId="6F00AF92">
      <w:pPr>
        <w:rPr>
          <w:rStyle w:val="17"/>
          <w:rFonts w:hint="eastAsia" w:ascii="Cambria" w:hAnsi="Cambria"/>
          <w:b/>
          <w:color w:val="auto"/>
          <w:kern w:val="0"/>
          <w:szCs w:val="36"/>
          <w:highlight w:val="none"/>
        </w:rPr>
      </w:pPr>
      <w:r>
        <w:rPr>
          <w:rStyle w:val="17"/>
          <w:rFonts w:hint="eastAsia" w:ascii="Cambria" w:hAnsi="Cambria"/>
          <w:b/>
          <w:color w:val="auto"/>
          <w:kern w:val="0"/>
          <w:szCs w:val="36"/>
          <w:highlight w:val="none"/>
        </w:rPr>
        <w:br w:type="page"/>
      </w:r>
    </w:p>
    <w:p w14:paraId="4B9F9F6E">
      <w:pPr>
        <w:pStyle w:val="12"/>
        <w:rPr>
          <w:rStyle w:val="17"/>
          <w:rFonts w:hint="default" w:ascii="Cambria" w:hAnsi="Cambria"/>
          <w:b/>
          <w:color w:val="auto"/>
          <w:kern w:val="0"/>
          <w:szCs w:val="36"/>
          <w:highlight w:val="none"/>
          <w:lang w:val="en-US"/>
        </w:rPr>
      </w:pPr>
      <w:r>
        <w:rPr>
          <w:rStyle w:val="17"/>
          <w:rFonts w:hint="eastAsia"/>
          <w:b/>
          <w:color w:val="auto"/>
          <w:kern w:val="0"/>
          <w:szCs w:val="36"/>
          <w:highlight w:val="none"/>
          <w:lang w:val="en-US" w:eastAsia="zh-CN"/>
        </w:rPr>
        <w:t>第二部分比选响应文件格式</w:t>
      </w:r>
    </w:p>
    <w:p w14:paraId="4D694209">
      <w:pPr>
        <w:jc w:val="both"/>
        <w:rPr>
          <w:rFonts w:hint="eastAsia" w:ascii="宋体" w:hAnsi="宋体" w:eastAsia="宋体" w:cs="宋体"/>
          <w:b/>
          <w:bCs w:val="0"/>
          <w:color w:val="auto"/>
          <w:kern w:val="0"/>
          <w:sz w:val="44"/>
          <w:szCs w:val="44"/>
          <w:highlight w:val="none"/>
          <w:lang w:val="en-US" w:eastAsia="zh-CN" w:bidi="ar-SA"/>
        </w:rPr>
      </w:pPr>
    </w:p>
    <w:p w14:paraId="45194E77">
      <w:pPr>
        <w:jc w:val="center"/>
        <w:rPr>
          <w:rFonts w:hint="eastAsia" w:ascii="宋体" w:hAnsi="宋体" w:eastAsia="宋体" w:cs="宋体"/>
          <w:b/>
          <w:bCs w:val="0"/>
          <w:color w:val="auto"/>
          <w:kern w:val="0"/>
          <w:sz w:val="44"/>
          <w:szCs w:val="44"/>
          <w:highlight w:val="none"/>
          <w:lang w:val="en-US" w:eastAsia="zh-CN" w:bidi="ar-SA"/>
        </w:rPr>
      </w:pPr>
      <w:r>
        <w:rPr>
          <w:rFonts w:hint="eastAsia" w:ascii="宋体" w:hAnsi="宋体" w:eastAsia="宋体" w:cs="宋体"/>
          <w:b/>
          <w:bCs w:val="0"/>
          <w:color w:val="auto"/>
          <w:kern w:val="0"/>
          <w:sz w:val="44"/>
          <w:szCs w:val="44"/>
          <w:highlight w:val="none"/>
          <w:lang w:val="en-US" w:eastAsia="zh-CN" w:bidi="ar-SA"/>
        </w:rPr>
        <w:t>一、营业执照</w:t>
      </w:r>
    </w:p>
    <w:p w14:paraId="28818F53">
      <w:pPr>
        <w:pStyle w:val="3"/>
        <w:numPr>
          <w:ilvl w:val="0"/>
          <w:numId w:val="0"/>
        </w:numPr>
        <w:rPr>
          <w:rFonts w:hint="eastAsia" w:ascii="宋体" w:hAnsi="宋体" w:eastAsia="宋体" w:cs="宋体"/>
          <w:color w:val="auto"/>
          <w:sz w:val="32"/>
          <w:szCs w:val="32"/>
          <w:highlight w:val="none"/>
          <w:lang w:eastAsia="zh-Hans"/>
        </w:rPr>
      </w:pPr>
    </w:p>
    <w:p w14:paraId="0BB8DF7D">
      <w:pPr>
        <w:rPr>
          <w:rFonts w:hint="eastAsia" w:ascii="华文仿宋" w:hAnsi="华文仿宋" w:eastAsia="华文仿宋" w:cs="华文仿宋"/>
          <w:b/>
          <w:bCs/>
          <w:color w:val="auto"/>
          <w:spacing w:val="73"/>
          <w:sz w:val="57"/>
          <w:szCs w:val="57"/>
          <w:highlight w:val="none"/>
        </w:rPr>
      </w:pPr>
      <w:r>
        <w:rPr>
          <w:rFonts w:hint="eastAsia" w:ascii="华文仿宋" w:hAnsi="华文仿宋" w:eastAsia="华文仿宋" w:cs="华文仿宋"/>
          <w:b/>
          <w:bCs/>
          <w:color w:val="auto"/>
          <w:spacing w:val="73"/>
          <w:sz w:val="57"/>
          <w:szCs w:val="57"/>
          <w:highlight w:val="none"/>
        </w:rPr>
        <w:br w:type="page"/>
      </w:r>
    </w:p>
    <w:p w14:paraId="6A8A94E0">
      <w:pPr>
        <w:rPr>
          <w:rFonts w:hint="eastAsia"/>
          <w:lang w:val="en-US" w:eastAsia="zh-CN"/>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1CFA405E">
      <w:pPr>
        <w:pStyle w:val="3"/>
        <w:numPr>
          <w:ilvl w:val="0"/>
          <w:numId w:val="4"/>
        </w:numPr>
        <w:spacing w:before="0" w:after="0" w:line="579" w:lineRule="exact"/>
        <w:jc w:val="center"/>
        <w:rPr>
          <w:rFonts w:hint="eastAsia" w:ascii="宋体" w:hAnsi="宋体" w:eastAsia="宋体" w:cs="宋体"/>
          <w:bCs w:val="0"/>
          <w:color w:val="auto"/>
          <w:kern w:val="0"/>
          <w:sz w:val="44"/>
          <w:szCs w:val="44"/>
          <w:highlight w:val="none"/>
          <w:lang w:val="en-US" w:eastAsia="zh-CN"/>
        </w:rPr>
      </w:pPr>
      <w:r>
        <w:rPr>
          <w:rFonts w:hint="eastAsia" w:ascii="宋体" w:hAnsi="宋体" w:eastAsia="宋体" w:cs="宋体"/>
          <w:bCs w:val="0"/>
          <w:color w:val="auto"/>
          <w:kern w:val="0"/>
          <w:sz w:val="44"/>
          <w:szCs w:val="44"/>
          <w:highlight w:val="none"/>
          <w:lang w:val="en-US" w:eastAsia="zh-CN"/>
        </w:rPr>
        <w:t>法定代表人证明文件及授权书</w:t>
      </w:r>
    </w:p>
    <w:p w14:paraId="421AD88C">
      <w:pPr>
        <w:numPr>
          <w:ilvl w:val="0"/>
          <w:numId w:val="0"/>
        </w:numPr>
        <w:rPr>
          <w:rFonts w:hint="default"/>
          <w:lang w:val="en-US" w:eastAsia="zh-CN"/>
        </w:rPr>
      </w:pPr>
    </w:p>
    <w:p w14:paraId="056BE97B">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w:t>
      </w:r>
      <w:r>
        <w:rPr>
          <w:rFonts w:hint="eastAsia" w:cs="宋体"/>
          <w:szCs w:val="21"/>
          <w:lang w:val="en-US" w:eastAsia="zh-CN"/>
        </w:rPr>
        <w:t xml:space="preserve">   </w:t>
      </w:r>
      <w:r>
        <w:rPr>
          <w:rFonts w:hint="eastAsia" w:ascii="宋体" w:hAnsi="宋体" w:eastAsia="宋体" w:cs="宋体"/>
          <w:szCs w:val="21"/>
        </w:rPr>
        <w:t>】，身份证号码为【</w:t>
      </w:r>
      <w:r>
        <w:rPr>
          <w:rFonts w:hint="eastAsia" w:cs="宋体"/>
          <w:szCs w:val="21"/>
          <w:lang w:val="en-US" w:eastAsia="zh-CN"/>
        </w:rPr>
        <w:t xml:space="preserve">   </w:t>
      </w:r>
      <w:r>
        <w:rPr>
          <w:rFonts w:hint="eastAsia" w:ascii="宋体" w:hAnsi="宋体" w:eastAsia="宋体" w:cs="宋体"/>
          <w:szCs w:val="21"/>
        </w:rPr>
        <w:t>】，担任我司【</w:t>
      </w:r>
      <w:r>
        <w:rPr>
          <w:rFonts w:hint="eastAsia" w:cs="宋体"/>
          <w:szCs w:val="21"/>
          <w:lang w:val="en-US" w:eastAsia="zh-CN"/>
        </w:rPr>
        <w:t xml:space="preserve">   </w:t>
      </w:r>
      <w:r>
        <w:rPr>
          <w:rFonts w:hint="eastAsia" w:ascii="宋体" w:hAnsi="宋体" w:eastAsia="宋体" w:cs="宋体"/>
          <w:szCs w:val="21"/>
        </w:rPr>
        <w:t>】职务，是我司的法定代表人</w:t>
      </w:r>
      <w:r>
        <w:rPr>
          <w:rFonts w:hint="eastAsia" w:ascii="宋体" w:hAnsi="宋体" w:eastAsia="宋体" w:cs="宋体"/>
        </w:rPr>
        <w:t>（单位负责人）</w:t>
      </w:r>
      <w:r>
        <w:rPr>
          <w:rFonts w:hint="eastAsia" w:ascii="宋体" w:hAnsi="宋体" w:eastAsia="宋体" w:cs="宋体"/>
          <w:szCs w:val="21"/>
        </w:rPr>
        <w:t>；就</w:t>
      </w:r>
      <w:r>
        <w:rPr>
          <w:rFonts w:hint="eastAsia" w:ascii="宋体" w:hAnsi="宋体" w:eastAsia="宋体" w:cs="宋体"/>
          <w:b/>
          <w:bCs/>
          <w:szCs w:val="21"/>
          <w:u w:val="single"/>
          <w:lang w:val="en-US" w:eastAsia="zh-CN"/>
        </w:rPr>
        <w:t>免疫性疾病规范化诊疗・网页投放公益科普</w:t>
      </w:r>
      <w:r>
        <w:rPr>
          <w:rFonts w:hint="eastAsia" w:ascii="宋体" w:hAnsi="宋体" w:eastAsia="宋体" w:cs="宋体"/>
          <w:szCs w:val="21"/>
        </w:rPr>
        <w:t>项目投标事宜，授权【</w:t>
      </w:r>
      <w:r>
        <w:rPr>
          <w:rFonts w:hint="eastAsia" w:cs="宋体"/>
          <w:szCs w:val="21"/>
          <w:lang w:val="en-US" w:eastAsia="zh-CN"/>
        </w:rPr>
        <w:t xml:space="preserve">  </w:t>
      </w:r>
      <w:r>
        <w:rPr>
          <w:rFonts w:hint="eastAsia" w:ascii="宋体" w:hAnsi="宋体" w:eastAsia="宋体" w:cs="宋体"/>
          <w:szCs w:val="21"/>
        </w:rPr>
        <w:t>】，身份证号码【</w:t>
      </w:r>
      <w:r>
        <w:rPr>
          <w:rFonts w:hint="eastAsia" w:cs="宋体"/>
          <w:szCs w:val="21"/>
          <w:lang w:val="en-US" w:eastAsia="zh-CN"/>
        </w:rPr>
        <w:t xml:space="preserve">  </w:t>
      </w:r>
      <w:r>
        <w:rPr>
          <w:rFonts w:hint="eastAsia" w:ascii="宋体" w:hAnsi="宋体" w:eastAsia="宋体" w:cs="宋体"/>
          <w:szCs w:val="21"/>
        </w:rPr>
        <w:t>】以本公司名义全权处理一切与之有关的事务。该被授权人代表我公司所签署的一切文件，本公司均予以确认并承担法律责任。</w:t>
      </w:r>
    </w:p>
    <w:p w14:paraId="0D524BEE">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本授权书于年月日签字生效。</w:t>
      </w:r>
    </w:p>
    <w:p w14:paraId="56D30F2A">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本授权书有效期至项目结束。</w:t>
      </w:r>
    </w:p>
    <w:p w14:paraId="0AD6E27D">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特此授权。</w:t>
      </w:r>
    </w:p>
    <w:p w14:paraId="6C156A86">
      <w:pPr>
        <w:spacing w:line="360" w:lineRule="auto"/>
        <w:ind w:right="105" w:firstLine="400" w:firstLineChars="200"/>
        <w:jc w:val="left"/>
        <w:rPr>
          <w:rFonts w:hint="eastAsia" w:ascii="宋体" w:hAnsi="宋体" w:eastAsia="宋体" w:cs="宋体"/>
          <w:szCs w:val="21"/>
        </w:rPr>
      </w:pPr>
      <w:r>
        <w:rPr>
          <w:rFonts w:hint="eastAsia" w:ascii="宋体" w:hAnsi="宋体" w:eastAsia="宋体" w:cs="宋体"/>
          <w:szCs w:val="21"/>
        </w:rPr>
        <w:t>附：法定代表人（单位负责人）身份证复印件及委托代理人身份证复印件</w:t>
      </w:r>
    </w:p>
    <w:tbl>
      <w:tblPr>
        <w:tblStyle w:val="13"/>
        <w:tblW w:w="10740" w:type="dxa"/>
        <w:tblInd w:w="-1166"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CellMar>
          <w:top w:w="0" w:type="dxa"/>
          <w:left w:w="108" w:type="dxa"/>
          <w:bottom w:w="0" w:type="dxa"/>
          <w:right w:w="108" w:type="dxa"/>
        </w:tblCellMar>
      </w:tblPr>
      <w:tblGrid>
        <w:gridCol w:w="988"/>
        <w:gridCol w:w="4876"/>
        <w:gridCol w:w="4876"/>
      </w:tblGrid>
      <w:tr w14:paraId="40ABF87B">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3061" w:hRule="atLeast"/>
        </w:trPr>
        <w:tc>
          <w:tcPr>
            <w:tcW w:w="988" w:type="dxa"/>
            <w:vAlign w:val="center"/>
          </w:tcPr>
          <w:p w14:paraId="7A0F68F2">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法定代表人</w:t>
            </w:r>
          </w:p>
          <w:p w14:paraId="413E04D2">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（单位负责人）</w:t>
            </w:r>
          </w:p>
        </w:tc>
        <w:tc>
          <w:tcPr>
            <w:tcW w:w="4876" w:type="dxa"/>
            <w:vAlign w:val="center"/>
          </w:tcPr>
          <w:p w14:paraId="3774AF21">
            <w:pPr>
              <w:spacing w:line="360" w:lineRule="auto"/>
              <w:ind w:right="105"/>
              <w:jc w:val="center"/>
              <w:rPr>
                <w:rFonts w:hint="eastAsia" w:ascii="宋体" w:hAnsi="宋体" w:eastAsia="宋体" w:cs="宋体"/>
                <w:kern w:val="0"/>
                <w:sz w:val="20"/>
                <w:szCs w:val="21"/>
              </w:rPr>
            </w:pPr>
          </w:p>
        </w:tc>
        <w:tc>
          <w:tcPr>
            <w:tcW w:w="4876" w:type="dxa"/>
            <w:vAlign w:val="center"/>
          </w:tcPr>
          <w:p w14:paraId="11E338B6">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反面</w:t>
            </w:r>
          </w:p>
        </w:tc>
      </w:tr>
      <w:tr w14:paraId="3B602B52">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3061" w:hRule="atLeast"/>
        </w:trPr>
        <w:tc>
          <w:tcPr>
            <w:tcW w:w="988" w:type="dxa"/>
            <w:vAlign w:val="center"/>
          </w:tcPr>
          <w:p w14:paraId="539093C8">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委托代理人</w:t>
            </w:r>
          </w:p>
        </w:tc>
        <w:tc>
          <w:tcPr>
            <w:tcW w:w="4876" w:type="dxa"/>
            <w:vAlign w:val="center"/>
          </w:tcPr>
          <w:p w14:paraId="63015E1C">
            <w:pPr>
              <w:spacing w:line="360" w:lineRule="auto"/>
              <w:ind w:right="105"/>
              <w:jc w:val="center"/>
              <w:rPr>
                <w:rFonts w:hint="eastAsia" w:ascii="宋体" w:hAnsi="宋体" w:eastAsia="宋体" w:cs="宋体"/>
                <w:kern w:val="0"/>
                <w:sz w:val="20"/>
                <w:szCs w:val="21"/>
              </w:rPr>
            </w:pPr>
          </w:p>
        </w:tc>
        <w:tc>
          <w:tcPr>
            <w:tcW w:w="4876" w:type="dxa"/>
            <w:vAlign w:val="center"/>
          </w:tcPr>
          <w:p w14:paraId="0C62ED53">
            <w:pPr>
              <w:spacing w:line="360" w:lineRule="auto"/>
              <w:ind w:right="105"/>
              <w:jc w:val="center"/>
              <w:rPr>
                <w:rFonts w:hint="eastAsia" w:ascii="宋体" w:hAnsi="宋体" w:eastAsia="宋体" w:cs="宋体"/>
                <w:kern w:val="0"/>
                <w:sz w:val="20"/>
                <w:szCs w:val="21"/>
              </w:rPr>
            </w:pPr>
          </w:p>
        </w:tc>
      </w:tr>
    </w:tbl>
    <w:p w14:paraId="326F012F">
      <w:pPr>
        <w:adjustRightInd w:val="0"/>
        <w:snapToGrid w:val="0"/>
        <w:spacing w:line="360" w:lineRule="auto"/>
        <w:rPr>
          <w:rFonts w:hint="eastAsia" w:ascii="宋体" w:hAnsi="宋体" w:eastAsia="宋体" w:cs="宋体"/>
          <w:sz w:val="10"/>
          <w:szCs w:val="10"/>
        </w:rPr>
      </w:pPr>
    </w:p>
    <w:p w14:paraId="4E4ABA5F">
      <w:pPr>
        <w:adjustRightInd w:val="0"/>
        <w:snapToGrid w:val="0"/>
        <w:spacing w:line="360" w:lineRule="auto"/>
        <w:rPr>
          <w:rFonts w:hint="default" w:ascii="宋体" w:hAnsi="宋体" w:eastAsia="宋体" w:cs="宋体"/>
          <w:szCs w:val="21"/>
          <w:lang w:val="en-US"/>
        </w:rPr>
      </w:pPr>
      <w:r>
        <w:rPr>
          <w:rFonts w:hint="eastAsia" w:ascii="宋体" w:hAnsi="宋体" w:eastAsia="宋体" w:cs="宋体"/>
          <w:szCs w:val="21"/>
        </w:rPr>
        <w:t>投标</w:t>
      </w:r>
      <w:r>
        <w:rPr>
          <w:rFonts w:hint="eastAsia" w:cs="宋体"/>
          <w:szCs w:val="21"/>
          <w:lang w:val="en-US" w:eastAsia="zh-CN"/>
        </w:rPr>
        <w:t>供应商</w:t>
      </w:r>
      <w:r>
        <w:rPr>
          <w:rFonts w:hint="eastAsia" w:ascii="宋体" w:hAnsi="宋体" w:eastAsia="宋体" w:cs="宋体"/>
          <w:szCs w:val="21"/>
        </w:rPr>
        <w:t>名称（公章）：</w:t>
      </w:r>
    </w:p>
    <w:p w14:paraId="48F9793E">
      <w:pPr>
        <w:adjustRightInd w:val="0"/>
        <w:snapToGrid w:val="0"/>
        <w:spacing w:line="360" w:lineRule="auto"/>
        <w:rPr>
          <w:rFonts w:hint="eastAsia" w:ascii="宋体" w:hAnsi="宋体" w:eastAsia="宋体" w:cs="宋体"/>
          <w:sz w:val="10"/>
          <w:szCs w:val="10"/>
        </w:rPr>
      </w:pPr>
    </w:p>
    <w:p w14:paraId="5CED4557">
      <w:pPr>
        <w:adjustRightInd w:val="0"/>
        <w:snapToGrid w:val="0"/>
        <w:spacing w:line="360" w:lineRule="auto"/>
        <w:rPr>
          <w:rFonts w:hint="eastAsia" w:ascii="宋体" w:hAnsi="宋体" w:eastAsia="宋体" w:cs="宋体"/>
          <w:szCs w:val="21"/>
          <w:lang w:eastAsia="zh-CN"/>
        </w:rPr>
      </w:pPr>
      <w:r>
        <w:rPr>
          <w:rFonts w:hint="eastAsia" w:ascii="宋体" w:hAnsi="宋体" w:eastAsia="宋体" w:cs="宋体"/>
          <w:szCs w:val="21"/>
        </w:rPr>
        <w:t>法定代表人</w:t>
      </w:r>
      <w:r>
        <w:rPr>
          <w:rFonts w:hint="eastAsia" w:ascii="宋体" w:hAnsi="宋体" w:eastAsia="宋体" w:cs="宋体"/>
        </w:rPr>
        <w:t>（单位负责人）</w:t>
      </w:r>
      <w:r>
        <w:rPr>
          <w:rFonts w:hint="eastAsia" w:ascii="宋体" w:hAnsi="宋体" w:eastAsia="宋体" w:cs="宋体"/>
          <w:szCs w:val="21"/>
        </w:rPr>
        <w:t>签字：</w:t>
      </w:r>
    </w:p>
    <w:p w14:paraId="5CF7170A">
      <w:pPr>
        <w:adjustRightInd w:val="0"/>
        <w:snapToGrid w:val="0"/>
        <w:spacing w:line="360" w:lineRule="auto"/>
        <w:rPr>
          <w:rFonts w:hint="eastAsia" w:ascii="宋体" w:hAnsi="宋体" w:eastAsia="宋体" w:cs="宋体"/>
          <w:sz w:val="10"/>
          <w:szCs w:val="10"/>
        </w:rPr>
      </w:pPr>
    </w:p>
    <w:p w14:paraId="570F6B6C">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委托代理人签字：</w:t>
      </w:r>
    </w:p>
    <w:p w14:paraId="1E242C1F">
      <w:pPr>
        <w:adjustRightInd w:val="0"/>
        <w:snapToGrid w:val="0"/>
        <w:spacing w:line="360" w:lineRule="auto"/>
        <w:rPr>
          <w:rFonts w:hint="eastAsia" w:ascii="宋体" w:hAnsi="宋体" w:eastAsia="宋体" w:cs="宋体"/>
          <w:sz w:val="10"/>
          <w:szCs w:val="10"/>
        </w:rPr>
      </w:pPr>
    </w:p>
    <w:p w14:paraId="63504E20">
      <w:pPr>
        <w:keepNext w:val="0"/>
        <w:keepLines w:val="0"/>
        <w:pageBreakBefore w:val="0"/>
        <w:widowControl w:val="0"/>
        <w:kinsoku/>
        <w:wordWrap/>
        <w:overflowPunct/>
        <w:topLinePunct w:val="0"/>
        <w:autoSpaceDE/>
        <w:autoSpaceDN/>
        <w:bidi w:val="0"/>
        <w:adjustRightInd w:val="0"/>
        <w:snapToGrid w:val="0"/>
        <w:spacing w:line="400" w:lineRule="exact"/>
        <w:ind w:firstLine="400" w:firstLineChars="200"/>
        <w:jc w:val="left"/>
        <w:textAlignment w:val="auto"/>
        <w:rPr>
          <w:rFonts w:ascii="宋体" w:hAnsi="宋体"/>
          <w:b/>
          <w:szCs w:val="21"/>
        </w:rPr>
      </w:pPr>
      <w:r>
        <w:rPr>
          <w:rFonts w:hint="eastAsia" w:ascii="宋体" w:hAnsi="宋体" w:eastAsia="宋体" w:cs="宋体"/>
          <w:szCs w:val="21"/>
        </w:rPr>
        <w:t>日期：</w:t>
      </w:r>
    </w:p>
    <w:p w14:paraId="00A245BC">
      <w:pPr>
        <w:rPr>
          <w:rFonts w:hint="eastAsia" w:ascii="宋体" w:hAnsi="宋体" w:eastAsia="宋体" w:cs="宋体"/>
          <w:bCs w:val="0"/>
          <w:color w:val="auto"/>
          <w:kern w:val="0"/>
          <w:sz w:val="44"/>
          <w:szCs w:val="44"/>
          <w:highlight w:val="none"/>
          <w:lang w:val="en-US" w:eastAsia="zh-CN"/>
        </w:rPr>
      </w:pPr>
      <w:r>
        <w:rPr>
          <w:rFonts w:hint="eastAsia" w:ascii="宋体" w:hAnsi="宋体" w:eastAsia="宋体" w:cs="宋体"/>
          <w:bCs w:val="0"/>
          <w:color w:val="auto"/>
          <w:kern w:val="0"/>
          <w:sz w:val="44"/>
          <w:szCs w:val="44"/>
          <w:highlight w:val="none"/>
          <w:lang w:val="en-US" w:eastAsia="zh-CN"/>
        </w:rPr>
        <w:br w:type="page"/>
      </w:r>
    </w:p>
    <w:p w14:paraId="5AD8616B">
      <w:pPr>
        <w:pStyle w:val="3"/>
        <w:spacing w:line="579" w:lineRule="exact"/>
        <w:jc w:val="center"/>
        <w:rPr>
          <w:rFonts w:ascii="宋体" w:hAnsi="宋体" w:eastAsia="宋体" w:cs="宋体"/>
          <w:color w:val="auto"/>
          <w:sz w:val="32"/>
          <w:szCs w:val="32"/>
          <w:highlight w:val="none"/>
        </w:rPr>
      </w:pPr>
      <w:r>
        <w:rPr>
          <w:rFonts w:hint="eastAsia" w:ascii="宋体" w:hAnsi="宋体" w:eastAsia="宋体" w:cs="宋体"/>
          <w:bCs w:val="0"/>
          <w:color w:val="auto"/>
          <w:kern w:val="0"/>
          <w:sz w:val="44"/>
          <w:szCs w:val="44"/>
          <w:highlight w:val="none"/>
          <w:lang w:val="en-US" w:eastAsia="zh-CN"/>
        </w:rPr>
        <w:t>三、</w:t>
      </w:r>
      <w:r>
        <w:rPr>
          <w:rFonts w:hint="eastAsia" w:ascii="宋体" w:hAnsi="宋体" w:eastAsia="宋体" w:cs="宋体"/>
          <w:bCs w:val="0"/>
          <w:color w:val="auto"/>
          <w:kern w:val="0"/>
          <w:sz w:val="44"/>
          <w:szCs w:val="44"/>
          <w:highlight w:val="none"/>
        </w:rPr>
        <w:t>承诺函</w:t>
      </w:r>
    </w:p>
    <w:p w14:paraId="240681B8">
      <w:pPr>
        <w:keepNext w:val="0"/>
        <w:keepLines w:val="0"/>
        <w:pageBreakBefore w:val="0"/>
        <w:widowControl w:val="0"/>
        <w:kinsoku/>
        <w:wordWrap/>
        <w:overflowPunct/>
        <w:topLinePunct w:val="0"/>
        <w:autoSpaceDE/>
        <w:autoSpaceDN/>
        <w:bidi w:val="0"/>
        <w:snapToGrid/>
        <w:spacing w:line="360" w:lineRule="auto"/>
        <w:ind w:right="-494" w:rightChars="-247"/>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cs="宋体"/>
          <w:color w:val="auto"/>
          <w:sz w:val="24"/>
          <w:szCs w:val="24"/>
          <w:highlight w:val="none"/>
          <w:lang w:val="en-US" w:eastAsia="zh-CN"/>
        </w:rPr>
        <w:t>四川省健康促进基金会</w:t>
      </w:r>
      <w:r>
        <w:rPr>
          <w:rFonts w:hint="eastAsia" w:ascii="宋体" w:hAnsi="宋体" w:eastAsia="宋体" w:cs="宋体"/>
          <w:color w:val="auto"/>
          <w:sz w:val="24"/>
          <w:szCs w:val="24"/>
          <w:highlight w:val="none"/>
        </w:rPr>
        <w:t>：</w:t>
      </w:r>
    </w:p>
    <w:p w14:paraId="097C4B31">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本公司（公司名称）参加</w:t>
      </w:r>
      <w:r>
        <w:rPr>
          <w:rFonts w:hint="eastAsia" w:ascii="宋体" w:hAnsi="宋体" w:eastAsia="宋体" w:cs="宋体"/>
          <w:b/>
          <w:bCs/>
          <w:color w:val="auto"/>
          <w:sz w:val="24"/>
          <w:szCs w:val="24"/>
          <w:highlight w:val="none"/>
          <w:u w:val="single"/>
          <w:lang w:val="en-US" w:eastAsia="zh-CN"/>
        </w:rPr>
        <w:t>免疫性疾病规范化诊疗・网页投放公益科普</w:t>
      </w:r>
      <w:r>
        <w:rPr>
          <w:rFonts w:hint="eastAsia" w:cs="宋体"/>
          <w:b/>
          <w:bCs/>
          <w:color w:val="auto"/>
          <w:sz w:val="24"/>
          <w:szCs w:val="24"/>
          <w:highlight w:val="none"/>
          <w:u w:val="single"/>
          <w:lang w:val="en-US" w:eastAsia="zh-CN"/>
        </w:rPr>
        <w:t>项目</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项目名称）的投标活动，现承诺：</w:t>
      </w:r>
    </w:p>
    <w:p w14:paraId="3DB72D66">
      <w:pPr>
        <w:keepNext w:val="0"/>
        <w:keepLines w:val="0"/>
        <w:pageBreakBefore w:val="0"/>
        <w:widowControl w:val="0"/>
        <w:numPr>
          <w:ilvl w:val="0"/>
          <w:numId w:val="5"/>
        </w:numPr>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我公司满足政府采购法第二十二条关于供应商的资格要求包括</w:t>
      </w:r>
      <w:r>
        <w:rPr>
          <w:rFonts w:hint="eastAsia" w:ascii="宋体" w:hAnsi="宋体" w:eastAsia="宋体" w:cs="宋体"/>
          <w:color w:val="auto"/>
          <w:sz w:val="24"/>
          <w:szCs w:val="24"/>
          <w:highlight w:val="none"/>
          <w:lang w:eastAsia="zh-CN"/>
        </w:rPr>
        <w:t>：</w:t>
      </w:r>
    </w:p>
    <w:p w14:paraId="6A09B830">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具有独立承担民事责任的能力；</w:t>
      </w:r>
    </w:p>
    <w:p w14:paraId="7C81735D">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具有良好的商业信誉和健全的财务会计制度；</w:t>
      </w:r>
    </w:p>
    <w:p w14:paraId="4ED84964">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具有履行合同所必需的设备和专业技术能力；</w:t>
      </w:r>
    </w:p>
    <w:p w14:paraId="4D8A02D0">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在经营活动中没有重大违法记录；</w:t>
      </w:r>
    </w:p>
    <w:p w14:paraId="6FDF8A55">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满足法律、行政法规规定的其他条件，并完全满足相关产品授权及商务要求。</w:t>
      </w:r>
    </w:p>
    <w:p w14:paraId="5D79965E">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二、所递交的文件及证明材料相关内容均如实填写，并真实可靠，在项目审评过程中我方所提供的材料必须真实。</w:t>
      </w:r>
    </w:p>
    <w:p w14:paraId="235DFDD3">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三、若我公司经综合评审确定为供应商，承诺产品</w:t>
      </w:r>
      <w:r>
        <w:rPr>
          <w:rFonts w:hint="eastAsia" w:cs="宋体"/>
          <w:color w:val="auto"/>
          <w:sz w:val="24"/>
          <w:szCs w:val="24"/>
          <w:highlight w:val="none"/>
          <w:lang w:val="en-US" w:eastAsia="zh-CN"/>
        </w:rPr>
        <w:t>/服务</w:t>
      </w:r>
      <w:r>
        <w:rPr>
          <w:rFonts w:hint="eastAsia" w:ascii="宋体" w:hAnsi="宋体" w:eastAsia="宋体" w:cs="宋体"/>
          <w:color w:val="auto"/>
          <w:sz w:val="24"/>
          <w:szCs w:val="24"/>
          <w:highlight w:val="none"/>
        </w:rPr>
        <w:t>的价格不超过其他同类企业。</w:t>
      </w:r>
    </w:p>
    <w:p w14:paraId="40770B10">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四、一旦我方中选，保证按管理要求完成相关工作。</w:t>
      </w:r>
    </w:p>
    <w:p w14:paraId="03F731DB">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五、一旦我方中选，我方将按采购人要求签订合同。</w:t>
      </w:r>
    </w:p>
    <w:p w14:paraId="09BFC10A">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六、我方将严格按照相关法律法规的要求参与推广活动，积极配合贵公司营造风清气正的亲清营商环境。不以现金、红包、回扣、有价证券、贵重礼品等任何形式影响采购人采购行为。</w:t>
      </w:r>
    </w:p>
    <w:p w14:paraId="27FCE0E0">
      <w:pPr>
        <w:keepNext w:val="0"/>
        <w:keepLines w:val="0"/>
        <w:pageBreakBefore w:val="0"/>
        <w:widowControl w:val="0"/>
        <w:tabs>
          <w:tab w:val="left" w:pos="480"/>
        </w:tabs>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如违反以上承诺，本公司愿承担一切法律责任。</w:t>
      </w:r>
    </w:p>
    <w:p w14:paraId="0DFD8B27">
      <w:pPr>
        <w:keepNext w:val="0"/>
        <w:keepLines w:val="0"/>
        <w:pageBreakBefore w:val="0"/>
        <w:widowControl w:val="0"/>
        <w:kinsoku/>
        <w:wordWrap/>
        <w:overflowPunct/>
        <w:topLinePunct w:val="0"/>
        <w:autoSpaceDE/>
        <w:autoSpaceDN/>
        <w:bidi w:val="0"/>
        <w:adjustRightInd w:val="0"/>
        <w:snapToGrid/>
        <w:spacing w:before="312" w:beforeLines="100" w:line="360" w:lineRule="auto"/>
        <w:ind w:right="-494" w:rightChars="-247"/>
        <w:jc w:val="left"/>
        <w:textAlignment w:val="auto"/>
        <w:rPr>
          <w:rFonts w:ascii="宋体" w:hAnsi="宋体" w:eastAsia="宋体" w:cs="宋体"/>
          <w:b/>
          <w:color w:val="auto"/>
          <w:sz w:val="24"/>
          <w:szCs w:val="24"/>
          <w:highlight w:val="none"/>
        </w:rPr>
      </w:pPr>
    </w:p>
    <w:p w14:paraId="3433F2D7">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rPr>
      </w:pPr>
      <w:r>
        <w:rPr>
          <w:rFonts w:hint="eastAsia" w:cs="宋体"/>
          <w:color w:val="auto"/>
          <w:sz w:val="24"/>
          <w:szCs w:val="24"/>
          <w:highlight w:val="none"/>
          <w:lang w:val="en-US" w:eastAsia="zh-CN"/>
        </w:rPr>
        <w:t>投标供应商</w:t>
      </w:r>
      <w:r>
        <w:rPr>
          <w:rFonts w:hint="eastAsia" w:ascii="宋体" w:hAnsi="宋体" w:eastAsia="宋体" w:cs="宋体"/>
          <w:color w:val="auto"/>
          <w:sz w:val="24"/>
          <w:szCs w:val="24"/>
          <w:highlight w:val="none"/>
        </w:rPr>
        <w:t>名称：（盖章）</w:t>
      </w:r>
    </w:p>
    <w:p w14:paraId="57C40863">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0AEEFC3B">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14:paraId="4A3ACEEE">
      <w:pPr>
        <w:rPr>
          <w:rFonts w:hint="eastAsia" w:ascii="宋体" w:hAnsi="宋体" w:eastAsia="宋体" w:cs="宋体"/>
          <w:bCs w:val="0"/>
          <w:color w:val="auto"/>
          <w:kern w:val="0"/>
          <w:sz w:val="44"/>
          <w:szCs w:val="44"/>
          <w:highlight w:val="none"/>
        </w:rPr>
      </w:pPr>
    </w:p>
    <w:p w14:paraId="6C8A18BC">
      <w:pPr>
        <w:pStyle w:val="3"/>
        <w:spacing w:before="0" w:after="0" w:line="579" w:lineRule="exact"/>
        <w:jc w:val="center"/>
        <w:rPr>
          <w:rFonts w:ascii="华文仿宋" w:hAnsi="华文仿宋" w:eastAsia="华文仿宋" w:cs="华文仿宋"/>
          <w:color w:val="auto"/>
          <w:highlight w:val="none"/>
        </w:rPr>
      </w:pPr>
      <w:r>
        <w:rPr>
          <w:rFonts w:hint="eastAsia" w:ascii="宋体" w:hAnsi="宋体" w:eastAsia="宋体" w:cs="宋体"/>
          <w:bCs w:val="0"/>
          <w:color w:val="auto"/>
          <w:kern w:val="0"/>
          <w:sz w:val="44"/>
          <w:szCs w:val="44"/>
          <w:highlight w:val="none"/>
          <w:lang w:val="en-US" w:eastAsia="zh-CN"/>
        </w:rPr>
        <w:t>四、</w:t>
      </w:r>
      <w:r>
        <w:rPr>
          <w:rFonts w:hint="eastAsia" w:ascii="宋体" w:hAnsi="宋体" w:eastAsia="宋体" w:cs="宋体"/>
          <w:bCs w:val="0"/>
          <w:color w:val="auto"/>
          <w:kern w:val="0"/>
          <w:sz w:val="44"/>
          <w:szCs w:val="44"/>
          <w:highlight w:val="none"/>
        </w:rPr>
        <w:t>投标报价表</w:t>
      </w:r>
    </w:p>
    <w:p w14:paraId="401D0016">
      <w:pPr>
        <w:spacing w:before="320" w:beforeLines="100" w:line="400" w:lineRule="exact"/>
        <w:ind w:left="0" w:firstLine="0" w:firstLineChars="0"/>
        <w:jc w:val="center"/>
        <w:rPr>
          <w:rFonts w:hint="default" w:asciiTheme="minorEastAsia" w:hAnsiTheme="minorEastAsia" w:eastAsiaTheme="minorEastAsia" w:cstheme="minorEastAsia"/>
          <w:b/>
          <w:bCs/>
          <w:color w:val="auto"/>
          <w:spacing w:val="-8"/>
          <w:sz w:val="28"/>
          <w:szCs w:val="28"/>
          <w:highlight w:val="none"/>
          <w:lang w:val="en-US" w:eastAsia="zh-CN"/>
        </w:rPr>
      </w:pPr>
      <w:r>
        <w:rPr>
          <w:rFonts w:hint="eastAsia" w:asciiTheme="minorEastAsia" w:hAnsiTheme="minorEastAsia" w:eastAsiaTheme="minorEastAsia" w:cstheme="minorEastAsia"/>
          <w:b/>
          <w:bCs/>
          <w:color w:val="auto"/>
          <w:spacing w:val="-8"/>
          <w:sz w:val="28"/>
          <w:szCs w:val="28"/>
          <w:highlight w:val="none"/>
          <w:u w:val="single"/>
          <w:lang w:val="en-US" w:eastAsia="zh-CN"/>
        </w:rPr>
        <w:t>以下报价均为含税价</w:t>
      </w:r>
    </w:p>
    <w:tbl>
      <w:tblPr>
        <w:tblStyle w:val="13"/>
        <w:tblW w:w="958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26"/>
        <w:gridCol w:w="4965"/>
        <w:gridCol w:w="1395"/>
        <w:gridCol w:w="656"/>
        <w:gridCol w:w="940"/>
      </w:tblGrid>
      <w:tr w14:paraId="1B067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1626" w:type="dxa"/>
            <w:tcBorders>
              <w:top w:val="nil"/>
              <w:left w:val="nil"/>
              <w:bottom w:val="single" w:color="auto" w:sz="4" w:space="0"/>
              <w:right w:val="nil"/>
            </w:tcBorders>
            <w:shd w:val="clear" w:color="auto" w:fill="203764"/>
            <w:vAlign w:val="center"/>
          </w:tcPr>
          <w:p w14:paraId="1BA6DE8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1"/>
                <w:szCs w:val="21"/>
                <w:highlight w:val="none"/>
                <w:u w:val="none"/>
              </w:rPr>
            </w:pPr>
            <w:r>
              <w:rPr>
                <w:rFonts w:hint="eastAsia" w:ascii="方正仿宋_GB2312" w:hAnsi="方正仿宋_GB2312" w:eastAsia="方正仿宋_GB2312" w:cs="方正仿宋_GB2312"/>
                <w:b/>
                <w:bCs/>
                <w:i w:val="0"/>
                <w:iCs w:val="0"/>
                <w:color w:val="auto"/>
                <w:kern w:val="0"/>
                <w:sz w:val="21"/>
                <w:szCs w:val="21"/>
                <w:highlight w:val="none"/>
                <w:u w:val="none"/>
                <w:lang w:val="en-US" w:eastAsia="zh-CN" w:bidi="ar"/>
              </w:rPr>
              <w:t>服务内容</w:t>
            </w:r>
          </w:p>
        </w:tc>
        <w:tc>
          <w:tcPr>
            <w:tcW w:w="4965" w:type="dxa"/>
            <w:tcBorders>
              <w:top w:val="nil"/>
              <w:left w:val="nil"/>
              <w:bottom w:val="single" w:color="auto" w:sz="4" w:space="0"/>
              <w:right w:val="nil"/>
            </w:tcBorders>
            <w:shd w:val="clear" w:color="auto" w:fill="203764"/>
            <w:vAlign w:val="center"/>
          </w:tcPr>
          <w:p w14:paraId="0CAC5BC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1"/>
                <w:szCs w:val="21"/>
                <w:highlight w:val="none"/>
                <w:u w:val="none"/>
                <w:lang w:val="en-US"/>
              </w:rPr>
            </w:pPr>
            <w:r>
              <w:rPr>
                <w:rFonts w:hint="eastAsia" w:ascii="方正仿宋_GB2312" w:hAnsi="方正仿宋_GB2312" w:eastAsia="方正仿宋_GB2312" w:cs="方正仿宋_GB2312"/>
                <w:b/>
                <w:bCs/>
                <w:i w:val="0"/>
                <w:iCs w:val="0"/>
                <w:color w:val="auto"/>
                <w:kern w:val="0"/>
                <w:sz w:val="21"/>
                <w:szCs w:val="21"/>
                <w:highlight w:val="none"/>
                <w:u w:val="none"/>
                <w:lang w:val="en-US" w:eastAsia="zh-CN" w:bidi="ar"/>
              </w:rPr>
              <w:t>服务要求</w:t>
            </w:r>
          </w:p>
        </w:tc>
        <w:tc>
          <w:tcPr>
            <w:tcW w:w="1395" w:type="dxa"/>
            <w:tcBorders>
              <w:top w:val="nil"/>
              <w:left w:val="nil"/>
              <w:bottom w:val="single" w:color="auto" w:sz="4" w:space="0"/>
              <w:right w:val="nil"/>
            </w:tcBorders>
            <w:shd w:val="clear" w:color="auto" w:fill="203764"/>
            <w:vAlign w:val="center"/>
          </w:tcPr>
          <w:p w14:paraId="2324063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1"/>
                <w:szCs w:val="21"/>
                <w:highlight w:val="none"/>
                <w:u w:val="none"/>
              </w:rPr>
            </w:pPr>
            <w:r>
              <w:rPr>
                <w:rFonts w:hint="eastAsia" w:ascii="方正仿宋_GB2312" w:hAnsi="方正仿宋_GB2312" w:eastAsia="方正仿宋_GB2312" w:cs="方正仿宋_GB2312"/>
                <w:b/>
                <w:bCs/>
                <w:i w:val="0"/>
                <w:iCs w:val="0"/>
                <w:color w:val="auto"/>
                <w:kern w:val="0"/>
                <w:sz w:val="21"/>
                <w:szCs w:val="21"/>
                <w:highlight w:val="none"/>
                <w:u w:val="none"/>
                <w:lang w:val="en-US" w:eastAsia="zh-CN" w:bidi="ar"/>
              </w:rPr>
              <w:t>数量</w:t>
            </w:r>
          </w:p>
        </w:tc>
        <w:tc>
          <w:tcPr>
            <w:tcW w:w="656" w:type="dxa"/>
            <w:tcBorders>
              <w:top w:val="nil"/>
              <w:left w:val="nil"/>
              <w:bottom w:val="single" w:color="auto" w:sz="4" w:space="0"/>
              <w:right w:val="nil"/>
            </w:tcBorders>
            <w:shd w:val="clear" w:color="auto" w:fill="203764"/>
            <w:vAlign w:val="center"/>
          </w:tcPr>
          <w:p w14:paraId="3DEBC23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1"/>
                <w:szCs w:val="21"/>
                <w:highlight w:val="none"/>
                <w:u w:val="none"/>
              </w:rPr>
            </w:pPr>
            <w:r>
              <w:rPr>
                <w:rFonts w:hint="eastAsia" w:ascii="方正仿宋_GB2312" w:hAnsi="方正仿宋_GB2312" w:eastAsia="方正仿宋_GB2312" w:cs="方正仿宋_GB2312"/>
                <w:b/>
                <w:bCs/>
                <w:i w:val="0"/>
                <w:iCs w:val="0"/>
                <w:color w:val="auto"/>
                <w:kern w:val="0"/>
                <w:sz w:val="21"/>
                <w:szCs w:val="21"/>
                <w:highlight w:val="none"/>
                <w:u w:val="none"/>
                <w:lang w:val="en-US" w:eastAsia="zh-CN" w:bidi="ar"/>
              </w:rPr>
              <w:t>单位</w:t>
            </w:r>
          </w:p>
        </w:tc>
        <w:tc>
          <w:tcPr>
            <w:tcW w:w="940" w:type="dxa"/>
            <w:tcBorders>
              <w:top w:val="nil"/>
              <w:left w:val="nil"/>
              <w:bottom w:val="single" w:color="auto" w:sz="4" w:space="0"/>
              <w:right w:val="nil"/>
            </w:tcBorders>
            <w:shd w:val="clear" w:color="auto" w:fill="203764"/>
            <w:vAlign w:val="center"/>
          </w:tcPr>
          <w:p w14:paraId="6F949C1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_GB2312" w:hAnsi="方正仿宋_GB2312" w:eastAsia="方正仿宋_GB2312" w:cs="方正仿宋_GB2312"/>
                <w:b/>
                <w:bCs/>
                <w:i w:val="0"/>
                <w:iCs w:val="0"/>
                <w:color w:val="auto"/>
                <w:sz w:val="21"/>
                <w:szCs w:val="21"/>
                <w:highlight w:val="none"/>
                <w:u w:val="none"/>
              </w:rPr>
            </w:pPr>
            <w:r>
              <w:rPr>
                <w:rFonts w:hint="eastAsia" w:ascii="方正仿宋_GB2312" w:hAnsi="方正仿宋_GB2312" w:eastAsia="方正仿宋_GB2312" w:cs="方正仿宋_GB2312"/>
                <w:b/>
                <w:bCs/>
                <w:i w:val="0"/>
                <w:iCs w:val="0"/>
                <w:color w:val="auto"/>
                <w:kern w:val="0"/>
                <w:sz w:val="21"/>
                <w:szCs w:val="21"/>
                <w:highlight w:val="none"/>
                <w:u w:val="none"/>
                <w:lang w:val="en-US" w:eastAsia="zh-CN" w:bidi="ar"/>
              </w:rPr>
              <w:t>报价（元）</w:t>
            </w:r>
          </w:p>
        </w:tc>
      </w:tr>
      <w:tr w14:paraId="3DB75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1626" w:type="dxa"/>
            <w:tcBorders>
              <w:top w:val="single" w:color="auto" w:sz="4" w:space="0"/>
              <w:left w:val="single" w:color="auto" w:sz="4" w:space="0"/>
              <w:bottom w:val="single" w:color="auto" w:sz="4" w:space="0"/>
              <w:right w:val="single" w:color="auto" w:sz="4" w:space="0"/>
            </w:tcBorders>
            <w:shd w:val="clear" w:color="auto" w:fill="auto"/>
            <w:vAlign w:val="center"/>
          </w:tcPr>
          <w:p w14:paraId="5288C0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Fonts w:hint="eastAsia" w:ascii="仿宋_GB2312" w:hAnsi="仿宋_GB2312" w:eastAsia="仿宋_GB2312" w:cs="仿宋_GB2312"/>
                <w:kern w:val="0"/>
                <w:sz w:val="21"/>
                <w:szCs w:val="21"/>
                <w:lang w:val="en-US" w:eastAsia="zh-CN" w:bidi="ar"/>
              </w:rPr>
              <w:t>医学PPT课件定制制作</w:t>
            </w:r>
          </w:p>
        </w:tc>
        <w:tc>
          <w:tcPr>
            <w:tcW w:w="4965" w:type="dxa"/>
            <w:tcBorders>
              <w:top w:val="single" w:color="auto" w:sz="4" w:space="0"/>
              <w:left w:val="single" w:color="auto" w:sz="4" w:space="0"/>
              <w:bottom w:val="single" w:color="auto" w:sz="4" w:space="0"/>
              <w:right w:val="single" w:color="auto" w:sz="4" w:space="0"/>
            </w:tcBorders>
            <w:shd w:val="clear" w:color="auto" w:fill="auto"/>
            <w:vAlign w:val="center"/>
          </w:tcPr>
          <w:p w14:paraId="6E510F2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i w:val="0"/>
                <w:iCs w:val="0"/>
                <w:color w:val="auto"/>
                <w:sz w:val="21"/>
                <w:szCs w:val="21"/>
                <w:highlight w:val="none"/>
                <w:u w:val="none"/>
              </w:rPr>
            </w:pPr>
            <w:r>
              <w:rPr>
                <w:rFonts w:hint="eastAsia" w:ascii="仿宋_GB2312" w:hAnsi="仿宋_GB2312" w:eastAsia="仿宋_GB2312" w:cs="仿宋_GB2312"/>
                <w:i w:val="0"/>
                <w:iCs w:val="0"/>
                <w:color w:val="auto"/>
                <w:sz w:val="21"/>
                <w:szCs w:val="21"/>
                <w:highlight w:val="none"/>
                <w:u w:val="none"/>
                <w:lang w:val="en-US" w:eastAsia="zh-CN"/>
              </w:rPr>
              <w:t>对免疫性疾病规范化诊疗项目—免疫治疗专家交流系列会会议已完成的授课PPT课件开展素材重组、内容拆解、资料整理加工，产出全套医学PPT课件；含母版定制、排版美化、医学图表绘制、全套源文件交付及合规配套审核。</w:t>
            </w:r>
          </w:p>
        </w:tc>
        <w:tc>
          <w:tcPr>
            <w:tcW w:w="1395" w:type="dxa"/>
            <w:tcBorders>
              <w:top w:val="single" w:color="auto" w:sz="4" w:space="0"/>
              <w:left w:val="single" w:color="auto" w:sz="4" w:space="0"/>
              <w:bottom w:val="single" w:color="auto" w:sz="4" w:space="0"/>
              <w:right w:val="single" w:color="auto" w:sz="4" w:space="0"/>
            </w:tcBorders>
            <w:shd w:val="clear" w:color="auto" w:fill="auto"/>
            <w:vAlign w:val="center"/>
          </w:tcPr>
          <w:p w14:paraId="7E34AC2A">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default" w:ascii="仿宋_GB2312" w:hAnsi="仿宋_GB2312" w:eastAsia="仿宋_GB2312" w:cs="仿宋_GB2312"/>
                <w:i w:val="0"/>
                <w:iCs w:val="0"/>
                <w:color w:val="auto"/>
                <w:sz w:val="21"/>
                <w:szCs w:val="21"/>
                <w:highlight w:val="none"/>
                <w:u w:val="none"/>
                <w:lang w:val="en-US" w:eastAsia="zh-CN"/>
              </w:rPr>
            </w:pPr>
            <w:r>
              <w:rPr>
                <w:rFonts w:hint="eastAsia" w:ascii="仿宋_GB2312" w:hAnsi="仿宋_GB2312" w:eastAsia="仿宋_GB2312" w:cs="仿宋_GB2312"/>
                <w:i w:val="0"/>
                <w:iCs w:val="0"/>
                <w:color w:val="auto"/>
                <w:sz w:val="21"/>
                <w:szCs w:val="21"/>
                <w:highlight w:val="none"/>
                <w:u w:val="none"/>
                <w:lang w:val="en-US" w:eastAsia="zh-CN"/>
              </w:rPr>
              <w:t>不低于600</w:t>
            </w:r>
          </w:p>
        </w:tc>
        <w:tc>
          <w:tcPr>
            <w:tcW w:w="656" w:type="dxa"/>
            <w:tcBorders>
              <w:top w:val="single" w:color="auto" w:sz="4" w:space="0"/>
              <w:left w:val="single" w:color="auto" w:sz="4" w:space="0"/>
              <w:bottom w:val="single" w:color="auto" w:sz="4" w:space="0"/>
              <w:right w:val="single" w:color="auto" w:sz="4" w:space="0"/>
            </w:tcBorders>
            <w:shd w:val="clear" w:color="auto" w:fill="auto"/>
            <w:vAlign w:val="center"/>
          </w:tcPr>
          <w:p w14:paraId="48C7A72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iCs w:val="0"/>
                <w:color w:val="auto"/>
                <w:sz w:val="21"/>
                <w:szCs w:val="21"/>
                <w:highlight w:val="none"/>
                <w:u w:val="none"/>
                <w:lang w:val="en-US" w:eastAsia="zh-CN" w:bidi="ar-SA"/>
              </w:rPr>
            </w:pPr>
            <w:r>
              <w:rPr>
                <w:rFonts w:hint="eastAsia" w:ascii="仿宋_GB2312" w:hAnsi="仿宋_GB2312" w:eastAsia="仿宋_GB2312" w:cs="仿宋_GB2312"/>
                <w:i w:val="0"/>
                <w:iCs w:val="0"/>
                <w:color w:val="auto"/>
                <w:sz w:val="21"/>
                <w:szCs w:val="21"/>
                <w:highlight w:val="none"/>
                <w:u w:val="none"/>
                <w:lang w:val="en-US" w:eastAsia="zh-CN"/>
              </w:rPr>
              <w:t>页</w:t>
            </w:r>
          </w:p>
        </w:tc>
        <w:tc>
          <w:tcPr>
            <w:tcW w:w="940" w:type="dxa"/>
            <w:tcBorders>
              <w:top w:val="single" w:color="auto" w:sz="4" w:space="0"/>
              <w:left w:val="single" w:color="auto" w:sz="4" w:space="0"/>
              <w:bottom w:val="single" w:color="auto" w:sz="4" w:space="0"/>
              <w:right w:val="single" w:color="auto" w:sz="4" w:space="0"/>
            </w:tcBorders>
            <w:shd w:val="clear" w:color="auto" w:fill="auto"/>
            <w:vAlign w:val="center"/>
          </w:tcPr>
          <w:p w14:paraId="264EFE7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i w:val="0"/>
                <w:iCs w:val="0"/>
                <w:color w:val="auto"/>
                <w:sz w:val="21"/>
                <w:szCs w:val="21"/>
                <w:highlight w:val="none"/>
                <w:u w:val="none"/>
                <w:lang w:val="en-US" w:eastAsia="zh-CN"/>
              </w:rPr>
            </w:pPr>
          </w:p>
        </w:tc>
      </w:tr>
      <w:tr w14:paraId="4A7AE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1626" w:type="dxa"/>
            <w:tcBorders>
              <w:top w:val="single" w:color="auto" w:sz="4" w:space="0"/>
              <w:left w:val="single" w:color="auto" w:sz="4" w:space="0"/>
              <w:bottom w:val="single" w:color="auto" w:sz="4" w:space="0"/>
              <w:right w:val="single" w:color="auto" w:sz="4" w:space="0"/>
            </w:tcBorders>
            <w:shd w:val="clear" w:color="auto" w:fill="auto"/>
            <w:vAlign w:val="center"/>
          </w:tcPr>
          <w:p w14:paraId="7A589B11">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center"/>
              <w:rPr>
                <w:rFonts w:hint="eastAsia" w:ascii="仿宋_GB2312" w:hAnsi="仿宋_GB2312" w:eastAsia="仿宋_GB2312" w:cs="仿宋_GB2312"/>
                <w:sz w:val="21"/>
                <w:szCs w:val="21"/>
                <w:lang w:val="en-US" w:eastAsia="zh-CN" w:bidi="ar-SA"/>
              </w:rPr>
            </w:pPr>
            <w:r>
              <w:rPr>
                <w:rFonts w:hint="eastAsia" w:ascii="仿宋_GB2312" w:hAnsi="仿宋_GB2312" w:eastAsia="仿宋_GB2312" w:cs="仿宋_GB2312"/>
                <w:kern w:val="0"/>
                <w:sz w:val="21"/>
                <w:szCs w:val="21"/>
                <w:lang w:val="en-US" w:eastAsia="zh-CN" w:bidi="ar"/>
              </w:rPr>
              <w:t>推广话题策略规划</w:t>
            </w:r>
          </w:p>
        </w:tc>
        <w:tc>
          <w:tcPr>
            <w:tcW w:w="4965" w:type="dxa"/>
            <w:tcBorders>
              <w:top w:val="single" w:color="auto" w:sz="4" w:space="0"/>
              <w:left w:val="single" w:color="auto" w:sz="4" w:space="0"/>
              <w:bottom w:val="single" w:color="auto" w:sz="4" w:space="0"/>
              <w:right w:val="single" w:color="auto" w:sz="4" w:space="0"/>
            </w:tcBorders>
            <w:shd w:val="clear" w:color="auto" w:fill="auto"/>
            <w:vAlign w:val="center"/>
          </w:tcPr>
          <w:p w14:paraId="28016CBF">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center"/>
              <w:rPr>
                <w:rFonts w:hint="eastAsia" w:ascii="仿宋_GB2312" w:hAnsi="仿宋_GB2312" w:eastAsia="仿宋_GB2312" w:cs="仿宋_GB2312"/>
                <w:sz w:val="21"/>
                <w:szCs w:val="21"/>
                <w:lang w:val="en-US" w:eastAsia="zh-CN" w:bidi="ar-SA"/>
              </w:rPr>
            </w:pPr>
            <w:r>
              <w:rPr>
                <w:rFonts w:hint="eastAsia" w:ascii="仿宋_GB2312" w:hAnsi="仿宋_GB2312" w:eastAsia="仿宋_GB2312" w:cs="仿宋_GB2312"/>
                <w:kern w:val="0"/>
                <w:sz w:val="21"/>
                <w:szCs w:val="21"/>
                <w:lang w:val="en-US" w:eastAsia="zh-CN" w:bidi="ar"/>
              </w:rPr>
              <w:t>根据关键词、品牌定位、目标方向及网络环境、行业特性进行分析，制定符合品牌现状及发展规划的话题策略，围绕中轴型脊柱关节炎、强直性脊柱炎、axSpA、银屑病、炎症性肠病等免疫性疾病开展公益科普话题策划。</w:t>
            </w:r>
          </w:p>
        </w:tc>
        <w:tc>
          <w:tcPr>
            <w:tcW w:w="1395" w:type="dxa"/>
            <w:tcBorders>
              <w:top w:val="single" w:color="auto" w:sz="4" w:space="0"/>
              <w:left w:val="single" w:color="auto" w:sz="4" w:space="0"/>
              <w:bottom w:val="single" w:color="auto" w:sz="4" w:space="0"/>
              <w:right w:val="single" w:color="auto" w:sz="4" w:space="0"/>
            </w:tcBorders>
            <w:shd w:val="clear" w:color="auto" w:fill="auto"/>
            <w:vAlign w:val="center"/>
          </w:tcPr>
          <w:p w14:paraId="4B75CD8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i w:val="0"/>
                <w:iCs w:val="0"/>
                <w:color w:val="auto"/>
                <w:sz w:val="21"/>
                <w:szCs w:val="21"/>
                <w:highlight w:val="none"/>
                <w:u w:val="none"/>
                <w:lang w:val="en-US" w:eastAsia="zh-CN" w:bidi="ar-SA"/>
              </w:rPr>
            </w:pPr>
            <w:r>
              <w:rPr>
                <w:rFonts w:hint="eastAsia" w:ascii="仿宋_GB2312" w:hAnsi="仿宋_GB2312" w:eastAsia="仿宋_GB2312" w:cs="仿宋_GB2312"/>
                <w:i w:val="0"/>
                <w:iCs w:val="0"/>
                <w:color w:val="auto"/>
                <w:sz w:val="21"/>
                <w:szCs w:val="21"/>
                <w:highlight w:val="none"/>
                <w:u w:val="none"/>
                <w:lang w:val="en-US" w:eastAsia="zh-CN" w:bidi="ar-SA"/>
              </w:rPr>
              <w:t>5</w:t>
            </w:r>
          </w:p>
        </w:tc>
        <w:tc>
          <w:tcPr>
            <w:tcW w:w="656" w:type="dxa"/>
            <w:tcBorders>
              <w:top w:val="single" w:color="auto" w:sz="4" w:space="0"/>
              <w:left w:val="single" w:color="auto" w:sz="4" w:space="0"/>
              <w:bottom w:val="single" w:color="auto" w:sz="4" w:space="0"/>
              <w:right w:val="single" w:color="auto" w:sz="4" w:space="0"/>
            </w:tcBorders>
            <w:shd w:val="clear" w:color="auto" w:fill="auto"/>
            <w:vAlign w:val="center"/>
          </w:tcPr>
          <w:p w14:paraId="5ABCED8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iCs w:val="0"/>
                <w:color w:val="auto"/>
                <w:sz w:val="21"/>
                <w:szCs w:val="21"/>
                <w:highlight w:val="none"/>
                <w:u w:val="none"/>
                <w:lang w:val="en-US" w:eastAsia="zh-CN" w:bidi="ar-SA"/>
              </w:rPr>
            </w:pPr>
            <w:r>
              <w:rPr>
                <w:rFonts w:hint="eastAsia" w:ascii="仿宋_GB2312" w:hAnsi="仿宋_GB2312" w:eastAsia="仿宋_GB2312" w:cs="仿宋_GB2312"/>
                <w:i w:val="0"/>
                <w:iCs w:val="0"/>
                <w:color w:val="auto"/>
                <w:sz w:val="21"/>
                <w:szCs w:val="21"/>
                <w:highlight w:val="none"/>
                <w:u w:val="none"/>
                <w:lang w:val="en-US" w:eastAsia="zh-CN" w:bidi="ar-SA"/>
              </w:rPr>
              <w:t>套</w:t>
            </w:r>
          </w:p>
        </w:tc>
        <w:tc>
          <w:tcPr>
            <w:tcW w:w="940" w:type="dxa"/>
            <w:tcBorders>
              <w:top w:val="single" w:color="auto" w:sz="4" w:space="0"/>
              <w:left w:val="single" w:color="auto" w:sz="4" w:space="0"/>
              <w:bottom w:val="single" w:color="auto" w:sz="4" w:space="0"/>
              <w:right w:val="single" w:color="auto" w:sz="4" w:space="0"/>
            </w:tcBorders>
            <w:shd w:val="clear" w:color="auto" w:fill="auto"/>
            <w:vAlign w:val="center"/>
          </w:tcPr>
          <w:p w14:paraId="1D3C7B4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i w:val="0"/>
                <w:iCs w:val="0"/>
                <w:color w:val="auto"/>
                <w:sz w:val="21"/>
                <w:szCs w:val="21"/>
                <w:highlight w:val="none"/>
                <w:u w:val="none"/>
                <w:lang w:val="en-US" w:eastAsia="zh-CN" w:bidi="ar-SA"/>
              </w:rPr>
            </w:pPr>
          </w:p>
        </w:tc>
      </w:tr>
      <w:tr w14:paraId="620DC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626" w:type="dxa"/>
            <w:tcBorders>
              <w:top w:val="single" w:color="auto" w:sz="4" w:space="0"/>
              <w:left w:val="single" w:color="auto" w:sz="4" w:space="0"/>
              <w:bottom w:val="single" w:color="auto" w:sz="4" w:space="0"/>
              <w:right w:val="single" w:color="auto" w:sz="4" w:space="0"/>
            </w:tcBorders>
            <w:shd w:val="clear" w:color="auto" w:fill="auto"/>
            <w:vAlign w:val="center"/>
          </w:tcPr>
          <w:p w14:paraId="71428489">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center"/>
              <w:rPr>
                <w:rFonts w:hint="eastAsia" w:ascii="仿宋_GB2312" w:hAnsi="仿宋_GB2312" w:eastAsia="仿宋_GB2312" w:cs="仿宋_GB2312"/>
                <w:sz w:val="21"/>
                <w:szCs w:val="21"/>
                <w:lang w:val="en-US" w:eastAsia="zh-CN" w:bidi="ar-SA"/>
              </w:rPr>
            </w:pPr>
            <w:r>
              <w:rPr>
                <w:rFonts w:hint="eastAsia" w:ascii="仿宋_GB2312" w:hAnsi="仿宋_GB2312" w:eastAsia="仿宋_GB2312" w:cs="仿宋_GB2312"/>
                <w:kern w:val="0"/>
                <w:sz w:val="21"/>
                <w:szCs w:val="21"/>
                <w:lang w:val="en-US" w:eastAsia="zh-CN" w:bidi="ar"/>
              </w:rPr>
              <w:t>医学稿件撰写优化</w:t>
            </w:r>
          </w:p>
        </w:tc>
        <w:tc>
          <w:tcPr>
            <w:tcW w:w="4965" w:type="dxa"/>
            <w:tcBorders>
              <w:top w:val="single" w:color="auto" w:sz="4" w:space="0"/>
              <w:left w:val="single" w:color="auto" w:sz="4" w:space="0"/>
              <w:bottom w:val="single" w:color="auto" w:sz="4" w:space="0"/>
              <w:right w:val="single" w:color="auto" w:sz="4" w:space="0"/>
            </w:tcBorders>
            <w:shd w:val="clear" w:color="auto" w:fill="auto"/>
            <w:vAlign w:val="center"/>
          </w:tcPr>
          <w:p w14:paraId="39838DAA">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center"/>
              <w:rPr>
                <w:rFonts w:hint="eastAsia" w:ascii="仿宋_GB2312" w:hAnsi="仿宋_GB2312" w:eastAsia="仿宋_GB2312" w:cs="仿宋_GB2312"/>
                <w:sz w:val="21"/>
                <w:szCs w:val="21"/>
                <w:lang w:val="en-US" w:eastAsia="zh-CN" w:bidi="ar-SA"/>
              </w:rPr>
            </w:pPr>
            <w:r>
              <w:rPr>
                <w:rFonts w:hint="eastAsia" w:ascii="仿宋_GB2312" w:hAnsi="仿宋_GB2312" w:eastAsia="仿宋_GB2312" w:cs="仿宋_GB2312"/>
                <w:kern w:val="0"/>
                <w:sz w:val="21"/>
                <w:szCs w:val="21"/>
                <w:lang w:val="en-US" w:eastAsia="zh-CN" w:bidi="ar"/>
              </w:rPr>
              <w:t>针对话题策略及关键词在文案中进行排布与规划，从读者视角出发突出公益宣传和知识科普，增强信任感与吸引力；以关键词全网覆盖为目标，进行文案SEO优化，提升科普内容全网曝光。</w:t>
            </w:r>
          </w:p>
        </w:tc>
        <w:tc>
          <w:tcPr>
            <w:tcW w:w="1395" w:type="dxa"/>
            <w:tcBorders>
              <w:top w:val="single" w:color="auto" w:sz="4" w:space="0"/>
              <w:left w:val="single" w:color="auto" w:sz="4" w:space="0"/>
              <w:bottom w:val="single" w:color="auto" w:sz="4" w:space="0"/>
              <w:right w:val="single" w:color="auto" w:sz="4" w:space="0"/>
            </w:tcBorders>
            <w:shd w:val="clear" w:color="auto" w:fill="auto"/>
            <w:vAlign w:val="center"/>
          </w:tcPr>
          <w:p w14:paraId="7790AF6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i w:val="0"/>
                <w:iCs w:val="0"/>
                <w:color w:val="auto"/>
                <w:sz w:val="21"/>
                <w:szCs w:val="21"/>
                <w:highlight w:val="none"/>
                <w:u w:val="none"/>
                <w:lang w:val="en-US" w:eastAsia="zh-CN" w:bidi="ar-SA"/>
              </w:rPr>
            </w:pPr>
            <w:r>
              <w:rPr>
                <w:rFonts w:hint="eastAsia" w:ascii="仿宋_GB2312" w:hAnsi="仿宋_GB2312" w:eastAsia="仿宋_GB2312" w:cs="仿宋_GB2312"/>
                <w:i w:val="0"/>
                <w:iCs w:val="0"/>
                <w:color w:val="auto"/>
                <w:sz w:val="21"/>
                <w:szCs w:val="21"/>
                <w:highlight w:val="none"/>
                <w:u w:val="none"/>
                <w:lang w:val="en-US" w:eastAsia="zh-CN" w:bidi="ar-SA"/>
              </w:rPr>
              <w:t>5</w:t>
            </w:r>
          </w:p>
        </w:tc>
        <w:tc>
          <w:tcPr>
            <w:tcW w:w="656" w:type="dxa"/>
            <w:tcBorders>
              <w:top w:val="single" w:color="auto" w:sz="4" w:space="0"/>
              <w:left w:val="single" w:color="auto" w:sz="4" w:space="0"/>
              <w:bottom w:val="single" w:color="auto" w:sz="4" w:space="0"/>
              <w:right w:val="single" w:color="auto" w:sz="4" w:space="0"/>
            </w:tcBorders>
            <w:shd w:val="clear" w:color="auto" w:fill="auto"/>
            <w:vAlign w:val="center"/>
          </w:tcPr>
          <w:p w14:paraId="1599D77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iCs w:val="0"/>
                <w:color w:val="auto"/>
                <w:sz w:val="21"/>
                <w:szCs w:val="21"/>
                <w:highlight w:val="none"/>
                <w:u w:val="none"/>
                <w:lang w:val="en-US" w:eastAsia="zh-CN" w:bidi="ar-SA"/>
              </w:rPr>
            </w:pPr>
            <w:r>
              <w:rPr>
                <w:rFonts w:hint="eastAsia" w:ascii="仿宋_GB2312" w:hAnsi="仿宋_GB2312" w:eastAsia="仿宋_GB2312" w:cs="仿宋_GB2312"/>
                <w:i w:val="0"/>
                <w:iCs w:val="0"/>
                <w:color w:val="auto"/>
                <w:sz w:val="21"/>
                <w:szCs w:val="21"/>
                <w:highlight w:val="none"/>
                <w:u w:val="none"/>
                <w:lang w:val="en-US" w:eastAsia="zh-CN" w:bidi="ar-SA"/>
              </w:rPr>
              <w:t>篇</w:t>
            </w:r>
          </w:p>
        </w:tc>
        <w:tc>
          <w:tcPr>
            <w:tcW w:w="940" w:type="dxa"/>
            <w:tcBorders>
              <w:top w:val="single" w:color="auto" w:sz="4" w:space="0"/>
              <w:left w:val="single" w:color="auto" w:sz="4" w:space="0"/>
              <w:bottom w:val="single" w:color="auto" w:sz="4" w:space="0"/>
              <w:right w:val="single" w:color="auto" w:sz="4" w:space="0"/>
            </w:tcBorders>
            <w:shd w:val="clear" w:color="auto" w:fill="auto"/>
            <w:vAlign w:val="center"/>
          </w:tcPr>
          <w:p w14:paraId="0E22A2E0">
            <w:pPr>
              <w:keepNext w:val="0"/>
              <w:keepLines w:val="0"/>
              <w:pageBreakBefore w:val="0"/>
              <w:kinsoku/>
              <w:wordWrap/>
              <w:overflowPunct/>
              <w:topLinePunct w:val="0"/>
              <w:autoSpaceDE/>
              <w:autoSpaceDN/>
              <w:bidi w:val="0"/>
              <w:adjustRightInd/>
              <w:snapToGrid/>
              <w:spacing w:line="400" w:lineRule="exact"/>
              <w:jc w:val="left"/>
              <w:rPr>
                <w:rFonts w:hint="eastAsia" w:ascii="仿宋_GB2312" w:hAnsi="仿宋_GB2312" w:eastAsia="仿宋_GB2312" w:cs="仿宋_GB2312"/>
                <w:i w:val="0"/>
                <w:iCs w:val="0"/>
                <w:color w:val="auto"/>
                <w:sz w:val="21"/>
                <w:szCs w:val="21"/>
                <w:highlight w:val="none"/>
                <w:u w:val="none"/>
                <w:lang w:val="en-US" w:eastAsia="zh-CN" w:bidi="ar-SA"/>
              </w:rPr>
            </w:pPr>
          </w:p>
        </w:tc>
      </w:tr>
      <w:tr w14:paraId="2040E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1626" w:type="dxa"/>
            <w:tcBorders>
              <w:top w:val="single" w:color="auto" w:sz="4" w:space="0"/>
              <w:left w:val="single" w:color="auto" w:sz="4" w:space="0"/>
              <w:bottom w:val="single" w:color="auto" w:sz="4" w:space="0"/>
              <w:right w:val="single" w:color="auto" w:sz="4" w:space="0"/>
            </w:tcBorders>
            <w:shd w:val="clear" w:color="auto" w:fill="auto"/>
            <w:vAlign w:val="center"/>
          </w:tcPr>
          <w:p w14:paraId="2F0A0F90">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center"/>
              <w:rPr>
                <w:rFonts w:hint="eastAsia" w:ascii="仿宋_GB2312" w:hAnsi="仿宋_GB2312" w:eastAsia="仿宋_GB2312" w:cs="仿宋_GB2312"/>
                <w:sz w:val="21"/>
                <w:szCs w:val="21"/>
                <w:lang w:val="en-US" w:eastAsia="zh-CN" w:bidi="ar-SA"/>
              </w:rPr>
            </w:pPr>
            <w:r>
              <w:rPr>
                <w:rFonts w:hint="eastAsia" w:ascii="仿宋_GB2312" w:hAnsi="仿宋_GB2312" w:eastAsia="仿宋_GB2312" w:cs="仿宋_GB2312"/>
                <w:kern w:val="0"/>
                <w:sz w:val="21"/>
                <w:szCs w:val="21"/>
                <w:lang w:val="en-US" w:eastAsia="zh-CN" w:bidi="ar"/>
              </w:rPr>
              <w:t>专题报道推广</w:t>
            </w:r>
          </w:p>
        </w:tc>
        <w:tc>
          <w:tcPr>
            <w:tcW w:w="4965" w:type="dxa"/>
            <w:tcBorders>
              <w:top w:val="single" w:color="auto" w:sz="4" w:space="0"/>
              <w:left w:val="single" w:color="auto" w:sz="4" w:space="0"/>
              <w:bottom w:val="single" w:color="auto" w:sz="4" w:space="0"/>
              <w:right w:val="single" w:color="auto" w:sz="4" w:space="0"/>
            </w:tcBorders>
            <w:shd w:val="clear" w:color="auto" w:fill="auto"/>
            <w:vAlign w:val="center"/>
          </w:tcPr>
          <w:p w14:paraId="625F406A">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center"/>
              <w:rPr>
                <w:rFonts w:hint="eastAsia" w:ascii="仿宋_GB2312" w:hAnsi="仿宋_GB2312" w:eastAsia="仿宋_GB2312" w:cs="仿宋_GB2312"/>
                <w:sz w:val="21"/>
                <w:szCs w:val="21"/>
                <w:lang w:val="en-US" w:eastAsia="zh-CN" w:bidi="ar-SA"/>
              </w:rPr>
            </w:pPr>
            <w:r>
              <w:rPr>
                <w:rFonts w:hint="eastAsia" w:ascii="仿宋_GB2312" w:hAnsi="仿宋_GB2312" w:eastAsia="仿宋_GB2312" w:cs="仿宋_GB2312"/>
                <w:kern w:val="0"/>
                <w:sz w:val="21"/>
                <w:szCs w:val="21"/>
                <w:lang w:val="en-US" w:eastAsia="zh-CN" w:bidi="ar"/>
              </w:rPr>
              <w:t>针对布局好的关键词及优质长尾词进行稿件投放布局，以SEO卡位为主要目的，通过人民健康网、第一健康网、中国生活网、中华健康新闻网、健康生活报等门户媒体及行业垂直媒体合理搭配发布，实现全网媒体曝光。</w:t>
            </w:r>
          </w:p>
        </w:tc>
        <w:tc>
          <w:tcPr>
            <w:tcW w:w="1395" w:type="dxa"/>
            <w:tcBorders>
              <w:top w:val="single" w:color="auto" w:sz="4" w:space="0"/>
              <w:left w:val="single" w:color="auto" w:sz="4" w:space="0"/>
              <w:bottom w:val="single" w:color="auto" w:sz="4" w:space="0"/>
              <w:right w:val="single" w:color="auto" w:sz="4" w:space="0"/>
            </w:tcBorders>
            <w:shd w:val="clear" w:color="auto" w:fill="auto"/>
            <w:vAlign w:val="center"/>
          </w:tcPr>
          <w:p w14:paraId="2F9D121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i w:val="0"/>
                <w:iCs w:val="0"/>
                <w:color w:val="auto"/>
                <w:sz w:val="21"/>
                <w:szCs w:val="21"/>
                <w:highlight w:val="none"/>
                <w:u w:val="none"/>
                <w:lang w:val="en-US" w:eastAsia="zh-CN" w:bidi="ar-SA"/>
              </w:rPr>
            </w:pPr>
            <w:r>
              <w:rPr>
                <w:rFonts w:hint="eastAsia" w:ascii="仿宋_GB2312" w:hAnsi="仿宋_GB2312" w:eastAsia="仿宋_GB2312" w:cs="仿宋_GB2312"/>
                <w:i w:val="0"/>
                <w:iCs w:val="0"/>
                <w:color w:val="auto"/>
                <w:sz w:val="21"/>
                <w:szCs w:val="21"/>
                <w:highlight w:val="none"/>
                <w:u w:val="none"/>
                <w:lang w:val="en-US" w:eastAsia="zh-CN"/>
              </w:rPr>
              <w:t>不低于120</w:t>
            </w:r>
          </w:p>
        </w:tc>
        <w:tc>
          <w:tcPr>
            <w:tcW w:w="656" w:type="dxa"/>
            <w:tcBorders>
              <w:top w:val="single" w:color="auto" w:sz="4" w:space="0"/>
              <w:left w:val="single" w:color="auto" w:sz="4" w:space="0"/>
              <w:bottom w:val="single" w:color="auto" w:sz="4" w:space="0"/>
              <w:right w:val="single" w:color="auto" w:sz="4" w:space="0"/>
            </w:tcBorders>
            <w:shd w:val="clear" w:color="auto" w:fill="auto"/>
            <w:vAlign w:val="center"/>
          </w:tcPr>
          <w:p w14:paraId="3DD8A3B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iCs w:val="0"/>
                <w:color w:val="auto"/>
                <w:sz w:val="21"/>
                <w:szCs w:val="21"/>
                <w:highlight w:val="none"/>
                <w:u w:val="none"/>
                <w:lang w:val="en-US" w:eastAsia="zh-CN" w:bidi="ar-SA"/>
              </w:rPr>
            </w:pPr>
            <w:r>
              <w:rPr>
                <w:rFonts w:hint="eastAsia" w:ascii="仿宋_GB2312" w:hAnsi="仿宋_GB2312" w:eastAsia="仿宋_GB2312" w:cs="仿宋_GB2312"/>
                <w:i w:val="0"/>
                <w:iCs w:val="0"/>
                <w:color w:val="auto"/>
                <w:sz w:val="21"/>
                <w:szCs w:val="21"/>
                <w:highlight w:val="none"/>
                <w:u w:val="none"/>
                <w:lang w:val="en-US" w:eastAsia="zh-CN"/>
              </w:rPr>
              <w:t>条</w:t>
            </w:r>
          </w:p>
        </w:tc>
        <w:tc>
          <w:tcPr>
            <w:tcW w:w="940" w:type="dxa"/>
            <w:tcBorders>
              <w:top w:val="single" w:color="auto" w:sz="4" w:space="0"/>
              <w:left w:val="single" w:color="auto" w:sz="4" w:space="0"/>
              <w:bottom w:val="single" w:color="auto" w:sz="4" w:space="0"/>
              <w:right w:val="single" w:color="auto" w:sz="4" w:space="0"/>
            </w:tcBorders>
            <w:shd w:val="clear" w:color="auto" w:fill="auto"/>
            <w:vAlign w:val="center"/>
          </w:tcPr>
          <w:p w14:paraId="0FB10099">
            <w:pPr>
              <w:keepNext w:val="0"/>
              <w:keepLines w:val="0"/>
              <w:pageBreakBefore w:val="0"/>
              <w:kinsoku/>
              <w:wordWrap/>
              <w:overflowPunct/>
              <w:topLinePunct w:val="0"/>
              <w:autoSpaceDE/>
              <w:autoSpaceDN/>
              <w:bidi w:val="0"/>
              <w:adjustRightInd/>
              <w:snapToGrid/>
              <w:spacing w:line="400" w:lineRule="exact"/>
              <w:jc w:val="left"/>
              <w:rPr>
                <w:rFonts w:hint="eastAsia" w:ascii="仿宋_GB2312" w:hAnsi="仿宋_GB2312" w:eastAsia="仿宋_GB2312" w:cs="仿宋_GB2312"/>
                <w:i w:val="0"/>
                <w:iCs w:val="0"/>
                <w:color w:val="auto"/>
                <w:sz w:val="21"/>
                <w:szCs w:val="21"/>
                <w:highlight w:val="none"/>
                <w:u w:val="none"/>
                <w:lang w:val="en-US" w:eastAsia="zh-CN" w:bidi="ar-SA"/>
              </w:rPr>
            </w:pPr>
          </w:p>
        </w:tc>
      </w:tr>
      <w:tr w14:paraId="0EA70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1626" w:type="dxa"/>
            <w:tcBorders>
              <w:top w:val="single" w:color="auto" w:sz="4" w:space="0"/>
              <w:left w:val="single" w:color="auto" w:sz="4" w:space="0"/>
              <w:bottom w:val="single" w:color="auto" w:sz="4" w:space="0"/>
              <w:right w:val="single" w:color="auto" w:sz="4" w:space="0"/>
            </w:tcBorders>
            <w:shd w:val="clear" w:color="auto" w:fill="auto"/>
            <w:vAlign w:val="center"/>
          </w:tcPr>
          <w:p w14:paraId="31711EA1">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center"/>
              <w:rPr>
                <w:rFonts w:hint="eastAsia" w:ascii="仿宋_GB2312" w:hAnsi="仿宋_GB2312" w:eastAsia="仿宋_GB2312" w:cs="仿宋_GB2312"/>
                <w:sz w:val="21"/>
                <w:szCs w:val="21"/>
                <w:lang w:val="en-US" w:eastAsia="zh-CN" w:bidi="ar-SA"/>
              </w:rPr>
            </w:pPr>
            <w:r>
              <w:rPr>
                <w:rFonts w:hint="eastAsia" w:ascii="仿宋_GB2312" w:hAnsi="仿宋_GB2312" w:eastAsia="仿宋_GB2312" w:cs="仿宋_GB2312"/>
                <w:kern w:val="0"/>
                <w:sz w:val="21"/>
                <w:szCs w:val="21"/>
                <w:lang w:val="en-US" w:eastAsia="zh-CN" w:bidi="ar"/>
              </w:rPr>
              <w:t>搜索引擎优化</w:t>
            </w:r>
          </w:p>
        </w:tc>
        <w:tc>
          <w:tcPr>
            <w:tcW w:w="4965" w:type="dxa"/>
            <w:tcBorders>
              <w:top w:val="single" w:color="auto" w:sz="4" w:space="0"/>
              <w:left w:val="single" w:color="auto" w:sz="4" w:space="0"/>
              <w:bottom w:val="single" w:color="auto" w:sz="4" w:space="0"/>
              <w:right w:val="single" w:color="auto" w:sz="4" w:space="0"/>
            </w:tcBorders>
            <w:shd w:val="clear" w:color="auto" w:fill="auto"/>
            <w:vAlign w:val="center"/>
          </w:tcPr>
          <w:p w14:paraId="56245C98">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center"/>
              <w:rPr>
                <w:rFonts w:hint="eastAsia" w:ascii="仿宋_GB2312" w:hAnsi="仿宋_GB2312" w:eastAsia="仿宋_GB2312" w:cs="仿宋_GB2312"/>
                <w:sz w:val="21"/>
                <w:szCs w:val="21"/>
                <w:lang w:val="en-US" w:eastAsia="zh-CN" w:bidi="ar-SA"/>
              </w:rPr>
            </w:pPr>
            <w:r>
              <w:rPr>
                <w:rFonts w:hint="eastAsia" w:ascii="仿宋_GB2312" w:hAnsi="仿宋_GB2312" w:eastAsia="仿宋_GB2312" w:cs="仿宋_GB2312"/>
                <w:kern w:val="0"/>
                <w:sz w:val="21"/>
                <w:szCs w:val="21"/>
                <w:lang w:val="en-US" w:eastAsia="zh-CN" w:bidi="ar"/>
              </w:rPr>
              <w:t>通过发布新闻稿、针对布局好的关键词优化，提升对应网站及网页权重，实现搜索关键词排名提升；优化后百度搜索中轴型脊柱关节炎、强直性脊柱炎、axSpA、银屑病、炎症性肠病等关键词；同步维护资讯页SEO。</w:t>
            </w:r>
          </w:p>
        </w:tc>
        <w:tc>
          <w:tcPr>
            <w:tcW w:w="1395" w:type="dxa"/>
            <w:tcBorders>
              <w:top w:val="single" w:color="auto" w:sz="4" w:space="0"/>
              <w:left w:val="single" w:color="auto" w:sz="4" w:space="0"/>
              <w:bottom w:val="single" w:color="auto" w:sz="4" w:space="0"/>
              <w:right w:val="single" w:color="auto" w:sz="4" w:space="0"/>
            </w:tcBorders>
            <w:shd w:val="clear" w:color="auto" w:fill="auto"/>
            <w:vAlign w:val="center"/>
          </w:tcPr>
          <w:p w14:paraId="076F2B3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i w:val="0"/>
                <w:iCs w:val="0"/>
                <w:color w:val="auto"/>
                <w:sz w:val="21"/>
                <w:szCs w:val="21"/>
                <w:highlight w:val="none"/>
                <w:u w:val="none"/>
                <w:lang w:val="en-US" w:eastAsia="zh-CN" w:bidi="ar-SA"/>
              </w:rPr>
            </w:pPr>
            <w:r>
              <w:rPr>
                <w:rFonts w:hint="eastAsia" w:ascii="仿宋_GB2312" w:hAnsi="仿宋_GB2312" w:eastAsia="仿宋_GB2312" w:cs="仿宋_GB2312"/>
                <w:i w:val="0"/>
                <w:iCs w:val="0"/>
                <w:color w:val="auto"/>
                <w:sz w:val="21"/>
                <w:szCs w:val="21"/>
                <w:highlight w:val="none"/>
                <w:u w:val="none"/>
                <w:lang w:val="en-US" w:eastAsia="zh-CN" w:bidi="ar-SA"/>
              </w:rPr>
              <w:t>1</w:t>
            </w:r>
          </w:p>
        </w:tc>
        <w:tc>
          <w:tcPr>
            <w:tcW w:w="656" w:type="dxa"/>
            <w:tcBorders>
              <w:top w:val="single" w:color="auto" w:sz="4" w:space="0"/>
              <w:left w:val="single" w:color="auto" w:sz="4" w:space="0"/>
              <w:bottom w:val="single" w:color="auto" w:sz="4" w:space="0"/>
              <w:right w:val="single" w:color="auto" w:sz="4" w:space="0"/>
            </w:tcBorders>
            <w:shd w:val="clear" w:color="auto" w:fill="auto"/>
            <w:vAlign w:val="center"/>
          </w:tcPr>
          <w:p w14:paraId="02FF276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iCs w:val="0"/>
                <w:color w:val="auto"/>
                <w:sz w:val="21"/>
                <w:szCs w:val="21"/>
                <w:highlight w:val="none"/>
                <w:u w:val="none"/>
                <w:lang w:val="en-US" w:eastAsia="zh-CN" w:bidi="ar-SA"/>
              </w:rPr>
            </w:pPr>
            <w:r>
              <w:rPr>
                <w:rFonts w:hint="eastAsia" w:ascii="仿宋_GB2312" w:hAnsi="仿宋_GB2312" w:eastAsia="仿宋_GB2312" w:cs="仿宋_GB2312"/>
                <w:i w:val="0"/>
                <w:iCs w:val="0"/>
                <w:color w:val="auto"/>
                <w:sz w:val="21"/>
                <w:szCs w:val="21"/>
                <w:highlight w:val="none"/>
                <w:u w:val="none"/>
                <w:lang w:val="en-US" w:eastAsia="zh-CN"/>
              </w:rPr>
              <w:t>项</w:t>
            </w:r>
          </w:p>
        </w:tc>
        <w:tc>
          <w:tcPr>
            <w:tcW w:w="940" w:type="dxa"/>
            <w:tcBorders>
              <w:top w:val="single" w:color="auto" w:sz="4" w:space="0"/>
              <w:left w:val="single" w:color="auto" w:sz="4" w:space="0"/>
              <w:bottom w:val="single" w:color="auto" w:sz="4" w:space="0"/>
              <w:right w:val="single" w:color="auto" w:sz="4" w:space="0"/>
            </w:tcBorders>
            <w:shd w:val="clear" w:color="auto" w:fill="auto"/>
            <w:vAlign w:val="center"/>
          </w:tcPr>
          <w:p w14:paraId="70618027">
            <w:pPr>
              <w:keepNext w:val="0"/>
              <w:keepLines w:val="0"/>
              <w:pageBreakBefore w:val="0"/>
              <w:kinsoku/>
              <w:wordWrap/>
              <w:overflowPunct/>
              <w:topLinePunct w:val="0"/>
              <w:autoSpaceDE/>
              <w:autoSpaceDN/>
              <w:bidi w:val="0"/>
              <w:adjustRightInd/>
              <w:snapToGrid/>
              <w:spacing w:line="400" w:lineRule="exact"/>
              <w:jc w:val="left"/>
              <w:rPr>
                <w:rFonts w:hint="eastAsia" w:ascii="仿宋_GB2312" w:hAnsi="仿宋_GB2312" w:eastAsia="仿宋_GB2312" w:cs="仿宋_GB2312"/>
                <w:i w:val="0"/>
                <w:iCs w:val="0"/>
                <w:color w:val="auto"/>
                <w:sz w:val="21"/>
                <w:szCs w:val="21"/>
                <w:highlight w:val="none"/>
                <w:u w:val="none"/>
                <w:lang w:val="en-US" w:eastAsia="zh-CN" w:bidi="ar-SA"/>
              </w:rPr>
            </w:pPr>
          </w:p>
        </w:tc>
      </w:tr>
      <w:tr w14:paraId="45D3E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1626" w:type="dxa"/>
            <w:tcBorders>
              <w:top w:val="single" w:color="auto" w:sz="4" w:space="0"/>
              <w:left w:val="single" w:color="auto" w:sz="4" w:space="0"/>
              <w:bottom w:val="single" w:color="auto" w:sz="4" w:space="0"/>
              <w:right w:val="single" w:color="auto" w:sz="4" w:space="0"/>
            </w:tcBorders>
            <w:shd w:val="clear" w:color="auto" w:fill="auto"/>
            <w:vAlign w:val="center"/>
          </w:tcPr>
          <w:p w14:paraId="47C94ED8">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center"/>
              <w:rPr>
                <w:rFonts w:hint="eastAsia" w:ascii="仿宋_GB2312" w:hAnsi="仿宋_GB2312" w:eastAsia="仿宋_GB2312" w:cs="仿宋_GB2312"/>
                <w:sz w:val="21"/>
                <w:szCs w:val="21"/>
                <w:lang w:val="en-US" w:eastAsia="zh-CN" w:bidi="ar-SA"/>
              </w:rPr>
            </w:pPr>
            <w:r>
              <w:rPr>
                <w:rFonts w:hint="eastAsia" w:ascii="仿宋_GB2312" w:hAnsi="仿宋_GB2312" w:eastAsia="仿宋_GB2312" w:cs="仿宋_GB2312"/>
                <w:kern w:val="0"/>
                <w:sz w:val="21"/>
                <w:szCs w:val="21"/>
                <w:lang w:val="en-US" w:eastAsia="zh-CN" w:bidi="ar"/>
              </w:rPr>
              <w:t>数据维护及优化</w:t>
            </w:r>
          </w:p>
        </w:tc>
        <w:tc>
          <w:tcPr>
            <w:tcW w:w="4965" w:type="dxa"/>
            <w:tcBorders>
              <w:top w:val="single" w:color="auto" w:sz="4" w:space="0"/>
              <w:left w:val="single" w:color="auto" w:sz="4" w:space="0"/>
              <w:bottom w:val="single" w:color="auto" w:sz="4" w:space="0"/>
              <w:right w:val="single" w:color="auto" w:sz="4" w:space="0"/>
            </w:tcBorders>
            <w:shd w:val="clear" w:color="auto" w:fill="auto"/>
            <w:vAlign w:val="center"/>
          </w:tcPr>
          <w:p w14:paraId="276D63BC">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center"/>
              <w:rPr>
                <w:rFonts w:hint="eastAsia" w:ascii="仿宋_GB2312" w:hAnsi="仿宋_GB2312" w:eastAsia="仿宋_GB2312" w:cs="仿宋_GB2312"/>
                <w:sz w:val="21"/>
                <w:szCs w:val="21"/>
                <w:lang w:val="en-US" w:eastAsia="zh-CN" w:bidi="ar-SA"/>
              </w:rPr>
            </w:pPr>
            <w:r>
              <w:rPr>
                <w:rFonts w:hint="eastAsia" w:ascii="仿宋_GB2312" w:hAnsi="仿宋_GB2312" w:eastAsia="仿宋_GB2312" w:cs="仿宋_GB2312"/>
                <w:kern w:val="0"/>
                <w:sz w:val="21"/>
                <w:szCs w:val="21"/>
                <w:lang w:val="en-US" w:eastAsia="zh-CN" w:bidi="ar"/>
              </w:rPr>
              <w:t>根据需求确认传播目标、增加科普广度；通过市场调研和用户数据分析确定目标受众特征和需求，进行精准投放；注重广告创意的视觉效果和信息传达效果，运用图片、视频、标题和描述等元素提升吸引力与互动性。</w:t>
            </w:r>
          </w:p>
        </w:tc>
        <w:tc>
          <w:tcPr>
            <w:tcW w:w="1395" w:type="dxa"/>
            <w:tcBorders>
              <w:top w:val="single" w:color="auto" w:sz="4" w:space="0"/>
              <w:left w:val="single" w:color="auto" w:sz="4" w:space="0"/>
              <w:bottom w:val="single" w:color="auto" w:sz="4" w:space="0"/>
              <w:right w:val="single" w:color="auto" w:sz="4" w:space="0"/>
            </w:tcBorders>
            <w:shd w:val="clear" w:color="auto" w:fill="auto"/>
            <w:vAlign w:val="center"/>
          </w:tcPr>
          <w:p w14:paraId="2C4E462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i w:val="0"/>
                <w:iCs w:val="0"/>
                <w:color w:val="auto"/>
                <w:sz w:val="21"/>
                <w:szCs w:val="21"/>
                <w:highlight w:val="none"/>
                <w:u w:val="none"/>
                <w:lang w:val="en-US" w:eastAsia="zh-CN" w:bidi="ar-SA"/>
              </w:rPr>
            </w:pPr>
            <w:r>
              <w:rPr>
                <w:rFonts w:hint="eastAsia" w:ascii="仿宋_GB2312" w:hAnsi="仿宋_GB2312" w:eastAsia="仿宋_GB2312" w:cs="仿宋_GB2312"/>
                <w:i w:val="0"/>
                <w:iCs w:val="0"/>
                <w:color w:val="auto"/>
                <w:sz w:val="21"/>
                <w:szCs w:val="21"/>
                <w:highlight w:val="none"/>
                <w:u w:val="none"/>
                <w:lang w:val="en-US" w:eastAsia="zh-CN" w:bidi="ar-SA"/>
              </w:rPr>
              <w:t>1</w:t>
            </w:r>
          </w:p>
        </w:tc>
        <w:tc>
          <w:tcPr>
            <w:tcW w:w="656" w:type="dxa"/>
            <w:tcBorders>
              <w:top w:val="single" w:color="auto" w:sz="4" w:space="0"/>
              <w:left w:val="single" w:color="auto" w:sz="4" w:space="0"/>
              <w:bottom w:val="single" w:color="auto" w:sz="4" w:space="0"/>
              <w:right w:val="single" w:color="auto" w:sz="4" w:space="0"/>
            </w:tcBorders>
            <w:shd w:val="clear" w:color="auto" w:fill="auto"/>
            <w:vAlign w:val="center"/>
          </w:tcPr>
          <w:p w14:paraId="2AB3193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iCs w:val="0"/>
                <w:color w:val="auto"/>
                <w:sz w:val="21"/>
                <w:szCs w:val="21"/>
                <w:highlight w:val="none"/>
                <w:u w:val="none"/>
                <w:lang w:val="en-US" w:eastAsia="zh-CN" w:bidi="ar-SA"/>
              </w:rPr>
            </w:pPr>
            <w:r>
              <w:rPr>
                <w:rFonts w:hint="eastAsia" w:ascii="仿宋_GB2312" w:hAnsi="仿宋_GB2312" w:eastAsia="仿宋_GB2312" w:cs="仿宋_GB2312"/>
                <w:i w:val="0"/>
                <w:iCs w:val="0"/>
                <w:color w:val="auto"/>
                <w:sz w:val="21"/>
                <w:szCs w:val="21"/>
                <w:highlight w:val="none"/>
                <w:u w:val="none"/>
                <w:lang w:val="en-US" w:eastAsia="zh-CN"/>
              </w:rPr>
              <w:t>项</w:t>
            </w:r>
          </w:p>
        </w:tc>
        <w:tc>
          <w:tcPr>
            <w:tcW w:w="940" w:type="dxa"/>
            <w:tcBorders>
              <w:top w:val="single" w:color="auto" w:sz="4" w:space="0"/>
              <w:left w:val="single" w:color="auto" w:sz="4" w:space="0"/>
              <w:bottom w:val="single" w:color="auto" w:sz="4" w:space="0"/>
              <w:right w:val="single" w:color="auto" w:sz="4" w:space="0"/>
            </w:tcBorders>
            <w:shd w:val="clear" w:color="auto" w:fill="auto"/>
            <w:vAlign w:val="center"/>
          </w:tcPr>
          <w:p w14:paraId="7D1B4632">
            <w:pPr>
              <w:keepNext w:val="0"/>
              <w:keepLines w:val="0"/>
              <w:pageBreakBefore w:val="0"/>
              <w:kinsoku/>
              <w:wordWrap/>
              <w:overflowPunct/>
              <w:topLinePunct w:val="0"/>
              <w:autoSpaceDE/>
              <w:autoSpaceDN/>
              <w:bidi w:val="0"/>
              <w:adjustRightInd/>
              <w:snapToGrid/>
              <w:spacing w:line="400" w:lineRule="exact"/>
              <w:jc w:val="left"/>
              <w:rPr>
                <w:rFonts w:hint="eastAsia" w:ascii="仿宋_GB2312" w:hAnsi="仿宋_GB2312" w:eastAsia="仿宋_GB2312" w:cs="仿宋_GB2312"/>
                <w:i w:val="0"/>
                <w:iCs w:val="0"/>
                <w:color w:val="auto"/>
                <w:sz w:val="21"/>
                <w:szCs w:val="21"/>
                <w:highlight w:val="none"/>
                <w:u w:val="none"/>
                <w:lang w:val="en-US" w:eastAsia="zh-CN" w:bidi="ar-SA"/>
              </w:rPr>
            </w:pPr>
          </w:p>
        </w:tc>
      </w:tr>
      <w:tr w14:paraId="1771A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626" w:type="dxa"/>
            <w:tcBorders>
              <w:top w:val="single" w:color="auto" w:sz="4" w:space="0"/>
              <w:left w:val="single" w:color="auto" w:sz="4" w:space="0"/>
              <w:bottom w:val="single" w:color="auto" w:sz="4" w:space="0"/>
              <w:right w:val="single" w:color="auto" w:sz="4" w:space="0"/>
            </w:tcBorders>
            <w:shd w:val="clear" w:color="auto" w:fill="auto"/>
            <w:vAlign w:val="center"/>
          </w:tcPr>
          <w:p w14:paraId="0CB7AF93">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center"/>
              <w:rPr>
                <w:rFonts w:hint="eastAsia" w:ascii="仿宋_GB2312" w:hAnsi="仿宋_GB2312" w:eastAsia="仿宋_GB2312" w:cs="仿宋_GB2312"/>
                <w:sz w:val="21"/>
                <w:szCs w:val="21"/>
                <w:lang w:val="en-US" w:eastAsia="zh-CN" w:bidi="ar-SA"/>
              </w:rPr>
            </w:pPr>
            <w:r>
              <w:rPr>
                <w:rFonts w:hint="eastAsia" w:ascii="仿宋_GB2312" w:hAnsi="仿宋_GB2312" w:eastAsia="仿宋_GB2312" w:cs="仿宋_GB2312"/>
                <w:kern w:val="0"/>
                <w:sz w:val="21"/>
                <w:szCs w:val="21"/>
                <w:lang w:val="en-US" w:eastAsia="zh-CN" w:bidi="ar"/>
              </w:rPr>
              <w:t>成果交付与审核</w:t>
            </w:r>
          </w:p>
        </w:tc>
        <w:tc>
          <w:tcPr>
            <w:tcW w:w="4965" w:type="dxa"/>
            <w:tcBorders>
              <w:top w:val="single" w:color="auto" w:sz="4" w:space="0"/>
              <w:left w:val="single" w:color="auto" w:sz="4" w:space="0"/>
              <w:bottom w:val="single" w:color="auto" w:sz="4" w:space="0"/>
              <w:right w:val="single" w:color="auto" w:sz="4" w:space="0"/>
            </w:tcBorders>
            <w:shd w:val="clear" w:color="auto" w:fill="auto"/>
            <w:vAlign w:val="center"/>
          </w:tcPr>
          <w:p w14:paraId="52CD3206">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center"/>
              <w:rPr>
                <w:rFonts w:hint="eastAsia" w:ascii="仿宋_GB2312" w:hAnsi="仿宋_GB2312" w:eastAsia="仿宋_GB2312" w:cs="仿宋_GB2312"/>
                <w:sz w:val="21"/>
                <w:szCs w:val="21"/>
                <w:lang w:val="en-US" w:eastAsia="zh-CN" w:bidi="ar-SA"/>
              </w:rPr>
            </w:pPr>
            <w:r>
              <w:rPr>
                <w:rFonts w:hint="eastAsia" w:ascii="仿宋_GB2312" w:hAnsi="仿宋_GB2312" w:eastAsia="仿宋_GB2312" w:cs="仿宋_GB2312"/>
                <w:kern w:val="0"/>
                <w:sz w:val="21"/>
                <w:szCs w:val="21"/>
                <w:lang w:val="en-US" w:eastAsia="zh-CN" w:bidi="ar"/>
              </w:rPr>
              <w:t>针对关键信息、推广数据出具定制化报表；对文稿内容进行数据管理和内容审核，确保发布内容合规、数据有效，并提供相应的交付佐证材料。</w:t>
            </w:r>
          </w:p>
        </w:tc>
        <w:tc>
          <w:tcPr>
            <w:tcW w:w="1395" w:type="dxa"/>
            <w:tcBorders>
              <w:top w:val="single" w:color="auto" w:sz="4" w:space="0"/>
              <w:left w:val="single" w:color="auto" w:sz="4" w:space="0"/>
              <w:bottom w:val="single" w:color="auto" w:sz="4" w:space="0"/>
              <w:right w:val="single" w:color="auto" w:sz="4" w:space="0"/>
            </w:tcBorders>
            <w:shd w:val="clear" w:color="auto" w:fill="auto"/>
            <w:vAlign w:val="center"/>
          </w:tcPr>
          <w:p w14:paraId="6F32DD6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i w:val="0"/>
                <w:iCs w:val="0"/>
                <w:color w:val="auto"/>
                <w:sz w:val="21"/>
                <w:szCs w:val="21"/>
                <w:highlight w:val="none"/>
                <w:u w:val="none"/>
                <w:lang w:val="en-US" w:eastAsia="zh-CN" w:bidi="ar-SA"/>
              </w:rPr>
            </w:pPr>
            <w:r>
              <w:rPr>
                <w:rFonts w:hint="eastAsia" w:ascii="仿宋_GB2312" w:hAnsi="仿宋_GB2312" w:eastAsia="仿宋_GB2312" w:cs="仿宋_GB2312"/>
                <w:i w:val="0"/>
                <w:iCs w:val="0"/>
                <w:color w:val="auto"/>
                <w:sz w:val="21"/>
                <w:szCs w:val="21"/>
                <w:highlight w:val="none"/>
                <w:u w:val="none"/>
                <w:lang w:val="en-US" w:eastAsia="zh-CN" w:bidi="ar-SA"/>
              </w:rPr>
              <w:t>1</w:t>
            </w:r>
            <w:bookmarkStart w:id="2" w:name="_GoBack"/>
            <w:bookmarkEnd w:id="2"/>
          </w:p>
        </w:tc>
        <w:tc>
          <w:tcPr>
            <w:tcW w:w="656" w:type="dxa"/>
            <w:tcBorders>
              <w:top w:val="single" w:color="auto" w:sz="4" w:space="0"/>
              <w:left w:val="single" w:color="auto" w:sz="4" w:space="0"/>
              <w:bottom w:val="single" w:color="auto" w:sz="4" w:space="0"/>
              <w:right w:val="single" w:color="auto" w:sz="4" w:space="0"/>
            </w:tcBorders>
            <w:shd w:val="clear" w:color="auto" w:fill="auto"/>
            <w:vAlign w:val="center"/>
          </w:tcPr>
          <w:p w14:paraId="1C8CA79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iCs w:val="0"/>
                <w:color w:val="auto"/>
                <w:sz w:val="21"/>
                <w:szCs w:val="21"/>
                <w:highlight w:val="none"/>
                <w:u w:val="none"/>
                <w:lang w:val="en-US" w:eastAsia="zh-CN" w:bidi="ar-SA"/>
              </w:rPr>
            </w:pPr>
            <w:r>
              <w:rPr>
                <w:rFonts w:hint="eastAsia" w:ascii="仿宋_GB2312" w:hAnsi="仿宋_GB2312" w:eastAsia="仿宋_GB2312" w:cs="仿宋_GB2312"/>
                <w:i w:val="0"/>
                <w:iCs w:val="0"/>
                <w:color w:val="auto"/>
                <w:sz w:val="21"/>
                <w:szCs w:val="21"/>
                <w:highlight w:val="none"/>
                <w:u w:val="none"/>
                <w:lang w:val="en-US" w:eastAsia="zh-CN"/>
              </w:rPr>
              <w:t>项</w:t>
            </w:r>
          </w:p>
        </w:tc>
        <w:tc>
          <w:tcPr>
            <w:tcW w:w="940" w:type="dxa"/>
            <w:tcBorders>
              <w:top w:val="single" w:color="auto" w:sz="4" w:space="0"/>
              <w:left w:val="single" w:color="auto" w:sz="4" w:space="0"/>
              <w:bottom w:val="single" w:color="auto" w:sz="4" w:space="0"/>
              <w:right w:val="single" w:color="auto" w:sz="4" w:space="0"/>
            </w:tcBorders>
            <w:shd w:val="clear" w:color="auto" w:fill="auto"/>
            <w:vAlign w:val="center"/>
          </w:tcPr>
          <w:p w14:paraId="1CDD5709">
            <w:pPr>
              <w:keepNext w:val="0"/>
              <w:keepLines w:val="0"/>
              <w:pageBreakBefore w:val="0"/>
              <w:kinsoku/>
              <w:wordWrap/>
              <w:overflowPunct/>
              <w:topLinePunct w:val="0"/>
              <w:autoSpaceDE/>
              <w:autoSpaceDN/>
              <w:bidi w:val="0"/>
              <w:adjustRightInd/>
              <w:snapToGrid/>
              <w:spacing w:line="400" w:lineRule="exact"/>
              <w:jc w:val="left"/>
              <w:rPr>
                <w:rFonts w:hint="eastAsia" w:ascii="仿宋_GB2312" w:hAnsi="仿宋_GB2312" w:eastAsia="仿宋_GB2312" w:cs="仿宋_GB2312"/>
                <w:i w:val="0"/>
                <w:iCs w:val="0"/>
                <w:color w:val="auto"/>
                <w:sz w:val="21"/>
                <w:szCs w:val="21"/>
                <w:highlight w:val="none"/>
                <w:u w:val="none"/>
                <w:lang w:val="en-US" w:eastAsia="zh-CN" w:bidi="ar-SA"/>
              </w:rPr>
            </w:pPr>
          </w:p>
        </w:tc>
      </w:tr>
      <w:tr w14:paraId="73BB6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626" w:type="dxa"/>
            <w:tcBorders>
              <w:top w:val="single" w:color="auto" w:sz="4" w:space="0"/>
              <w:left w:val="single" w:color="auto" w:sz="4" w:space="0"/>
              <w:bottom w:val="single" w:color="auto" w:sz="4" w:space="0"/>
              <w:right w:val="single" w:color="auto" w:sz="4" w:space="0"/>
            </w:tcBorders>
            <w:shd w:val="clear" w:color="auto" w:fill="auto"/>
            <w:vAlign w:val="center"/>
          </w:tcPr>
          <w:p w14:paraId="3AE1AC6A">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center"/>
              <w:rPr>
                <w:rFonts w:hint="eastAsia" w:ascii="仿宋_GB2312" w:hAnsi="仿宋_GB2312" w:eastAsia="仿宋_GB2312" w:cs="仿宋_GB2312"/>
                <w:kern w:val="0"/>
                <w:sz w:val="21"/>
                <w:szCs w:val="21"/>
                <w:lang w:val="en-US" w:eastAsia="zh-CN" w:bidi="ar"/>
              </w:rPr>
            </w:pPr>
            <w:r>
              <w:rPr>
                <w:rFonts w:hint="eastAsia" w:ascii="仿宋_GB2312" w:hAnsi="仿宋_GB2312" w:eastAsia="仿宋_GB2312" w:cs="仿宋_GB2312"/>
                <w:color w:val="FF0000"/>
                <w:kern w:val="0"/>
                <w:sz w:val="21"/>
                <w:szCs w:val="21"/>
                <w:lang w:val="en-US" w:eastAsia="zh-CN" w:bidi="ar"/>
              </w:rPr>
              <w:t>合计（含税）</w:t>
            </w:r>
          </w:p>
        </w:tc>
        <w:tc>
          <w:tcPr>
            <w:tcW w:w="4965" w:type="dxa"/>
            <w:tcBorders>
              <w:top w:val="single" w:color="auto" w:sz="4" w:space="0"/>
              <w:left w:val="single" w:color="auto" w:sz="4" w:space="0"/>
              <w:bottom w:val="single" w:color="auto" w:sz="4" w:space="0"/>
              <w:right w:val="single" w:color="auto" w:sz="4" w:space="0"/>
            </w:tcBorders>
            <w:shd w:val="clear" w:color="auto" w:fill="auto"/>
            <w:vAlign w:val="center"/>
          </w:tcPr>
          <w:p w14:paraId="0B67FBEF">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center"/>
              <w:rPr>
                <w:rFonts w:hint="eastAsia" w:ascii="仿宋_GB2312" w:hAnsi="仿宋_GB2312" w:eastAsia="仿宋_GB2312" w:cs="仿宋_GB2312"/>
                <w:kern w:val="0"/>
                <w:sz w:val="21"/>
                <w:szCs w:val="21"/>
                <w:lang w:val="en-US" w:eastAsia="zh-CN" w:bidi="ar"/>
              </w:rPr>
            </w:pPr>
          </w:p>
        </w:tc>
        <w:tc>
          <w:tcPr>
            <w:tcW w:w="299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0B781EC">
            <w:pPr>
              <w:keepNext w:val="0"/>
              <w:keepLines w:val="0"/>
              <w:pageBreakBefore w:val="0"/>
              <w:kinsoku/>
              <w:wordWrap/>
              <w:overflowPunct/>
              <w:topLinePunct w:val="0"/>
              <w:autoSpaceDE/>
              <w:autoSpaceDN/>
              <w:bidi w:val="0"/>
              <w:adjustRightInd/>
              <w:snapToGrid/>
              <w:spacing w:line="400" w:lineRule="exact"/>
              <w:jc w:val="left"/>
              <w:rPr>
                <w:rFonts w:hint="eastAsia" w:ascii="仿宋_GB2312" w:hAnsi="仿宋_GB2312" w:eastAsia="仿宋_GB2312" w:cs="仿宋_GB2312"/>
                <w:i w:val="0"/>
                <w:iCs w:val="0"/>
                <w:color w:val="auto"/>
                <w:sz w:val="21"/>
                <w:szCs w:val="21"/>
                <w:highlight w:val="none"/>
                <w:u w:val="none"/>
                <w:lang w:val="en-US" w:eastAsia="zh-CN" w:bidi="ar-SA"/>
              </w:rPr>
            </w:pPr>
          </w:p>
        </w:tc>
      </w:tr>
    </w:tbl>
    <w:p w14:paraId="53EEB422">
      <w:pPr>
        <w:rPr>
          <w:rFonts w:hint="default" w:ascii="宋体" w:hAnsi="宋体" w:eastAsia="宋体"/>
          <w:sz w:val="22"/>
          <w:szCs w:val="24"/>
          <w:lang w:val="en-US" w:eastAsia="zh-CN"/>
        </w:rPr>
      </w:pPr>
      <w:r>
        <w:rPr>
          <w:rFonts w:hint="eastAsia"/>
          <w:sz w:val="22"/>
          <w:szCs w:val="24"/>
          <w:lang w:val="en-US" w:eastAsia="zh-CN"/>
        </w:rPr>
        <w:t>【报价单填写说明】</w:t>
      </w:r>
    </w:p>
    <w:p w14:paraId="1A9A3F8E">
      <w:pPr>
        <w:adjustRightInd w:val="0"/>
        <w:snapToGrid w:val="0"/>
        <w:spacing w:line="360" w:lineRule="auto"/>
        <w:rPr>
          <w:rFonts w:ascii="宋体" w:hAnsi="宋体"/>
          <w:sz w:val="22"/>
          <w:szCs w:val="24"/>
        </w:rPr>
      </w:pPr>
      <w:r>
        <w:rPr>
          <w:rFonts w:hint="eastAsia" w:ascii="宋体" w:hAnsi="宋体"/>
          <w:sz w:val="22"/>
          <w:szCs w:val="24"/>
        </w:rPr>
        <w:t>1、请务必填写清楚，准确无误。</w:t>
      </w:r>
    </w:p>
    <w:p w14:paraId="1EC4BCF2">
      <w:pPr>
        <w:adjustRightInd w:val="0"/>
        <w:snapToGrid w:val="0"/>
        <w:spacing w:line="360" w:lineRule="auto"/>
        <w:rPr>
          <w:rFonts w:ascii="宋体" w:hAnsi="宋体"/>
          <w:sz w:val="22"/>
          <w:szCs w:val="24"/>
        </w:rPr>
      </w:pPr>
      <w:r>
        <w:rPr>
          <w:rFonts w:hint="eastAsia" w:ascii="宋体" w:hAnsi="宋体"/>
          <w:sz w:val="22"/>
          <w:szCs w:val="24"/>
        </w:rPr>
        <w:t>2、每个空格均需填写，费用属于免费提供的请填写“免费”。</w:t>
      </w:r>
    </w:p>
    <w:p w14:paraId="546FBAC2">
      <w:pPr>
        <w:adjustRightInd w:val="0"/>
        <w:snapToGrid w:val="0"/>
        <w:spacing w:line="360" w:lineRule="auto"/>
        <w:rPr>
          <w:rFonts w:ascii="宋体" w:hAnsi="宋体"/>
          <w:sz w:val="22"/>
          <w:szCs w:val="22"/>
        </w:rPr>
      </w:pPr>
      <w:r>
        <w:rPr>
          <w:rFonts w:ascii="宋体" w:hAnsi="宋体"/>
          <w:sz w:val="22"/>
          <w:szCs w:val="24"/>
        </w:rPr>
        <w:t>3</w:t>
      </w:r>
      <w:r>
        <w:rPr>
          <w:rFonts w:hint="eastAsia" w:ascii="宋体" w:hAnsi="宋体"/>
          <w:sz w:val="22"/>
          <w:szCs w:val="24"/>
        </w:rPr>
        <w:t>、</w:t>
      </w:r>
      <w:r>
        <w:rPr>
          <w:rFonts w:hint="eastAsia" w:ascii="宋体" w:hAnsi="宋体"/>
          <w:sz w:val="22"/>
          <w:szCs w:val="22"/>
        </w:rPr>
        <w:t>报价</w:t>
      </w:r>
      <w:r>
        <w:rPr>
          <w:rFonts w:hint="eastAsia"/>
          <w:sz w:val="22"/>
          <w:szCs w:val="22"/>
          <w:lang w:val="en-US" w:eastAsia="zh-CN"/>
        </w:rPr>
        <w:t>金额最多</w:t>
      </w:r>
      <w:r>
        <w:rPr>
          <w:rFonts w:hint="eastAsia" w:ascii="宋体" w:hAnsi="宋体"/>
          <w:sz w:val="22"/>
          <w:szCs w:val="22"/>
        </w:rPr>
        <w:t>保留两位小数，若投标人所报价格超过两位小数则按照四舍五入的原则保留两位数，且评标及后续合同执行价格按照四舍五入后执行。</w:t>
      </w:r>
    </w:p>
    <w:p w14:paraId="0029A461">
      <w:pPr>
        <w:tabs>
          <w:tab w:val="left" w:pos="4512"/>
        </w:tabs>
        <w:adjustRightInd w:val="0"/>
        <w:snapToGrid w:val="0"/>
        <w:spacing w:line="360" w:lineRule="auto"/>
        <w:rPr>
          <w:rFonts w:hint="eastAsia" w:ascii="宋体" w:hAnsi="宋体"/>
          <w:sz w:val="22"/>
          <w:szCs w:val="24"/>
        </w:rPr>
      </w:pPr>
      <w:r>
        <w:rPr>
          <w:rFonts w:hint="eastAsia" w:ascii="宋体" w:hAnsi="宋体"/>
          <w:sz w:val="22"/>
          <w:szCs w:val="24"/>
        </w:rPr>
        <w:t>如果不按照上述要求提供《投标报价表》将被视为未实质性响应《</w:t>
      </w:r>
      <w:r>
        <w:rPr>
          <w:rFonts w:hint="eastAsia"/>
          <w:sz w:val="22"/>
          <w:szCs w:val="24"/>
          <w:lang w:val="en-US" w:eastAsia="zh-CN"/>
        </w:rPr>
        <w:t>比选</w:t>
      </w:r>
      <w:r>
        <w:rPr>
          <w:rFonts w:hint="eastAsia" w:ascii="宋体" w:hAnsi="宋体"/>
          <w:sz w:val="22"/>
          <w:szCs w:val="24"/>
        </w:rPr>
        <w:t>文件》。</w:t>
      </w:r>
    </w:p>
    <w:p w14:paraId="2863473A">
      <w:pPr>
        <w:tabs>
          <w:tab w:val="left" w:pos="4512"/>
        </w:tabs>
        <w:adjustRightInd w:val="0"/>
        <w:snapToGrid w:val="0"/>
        <w:spacing w:line="360" w:lineRule="auto"/>
        <w:rPr>
          <w:rFonts w:hint="eastAsia" w:ascii="宋体" w:hAnsi="宋体"/>
          <w:sz w:val="22"/>
          <w:szCs w:val="24"/>
        </w:rPr>
      </w:pPr>
    </w:p>
    <w:p w14:paraId="28790D25">
      <w:pPr>
        <w:tabs>
          <w:tab w:val="left" w:pos="4512"/>
        </w:tabs>
        <w:adjustRightInd w:val="0"/>
        <w:snapToGrid w:val="0"/>
        <w:spacing w:line="360" w:lineRule="auto"/>
        <w:rPr>
          <w:rFonts w:hint="eastAsia" w:ascii="宋体" w:hAnsi="宋体"/>
          <w:sz w:val="22"/>
          <w:szCs w:val="24"/>
        </w:rPr>
      </w:pPr>
    </w:p>
    <w:p w14:paraId="4D97608A">
      <w:pPr>
        <w:pageBreakBefore w:val="0"/>
        <w:widowControl w:val="0"/>
        <w:tabs>
          <w:tab w:val="left" w:pos="4512"/>
        </w:tabs>
        <w:kinsoku/>
        <w:wordWrap/>
        <w:overflowPunct/>
        <w:topLinePunct w:val="0"/>
        <w:autoSpaceDE/>
        <w:autoSpaceDN/>
        <w:bidi w:val="0"/>
        <w:adjustRightInd w:val="0"/>
        <w:snapToGrid w:val="0"/>
        <w:spacing w:line="240" w:lineRule="auto"/>
        <w:textAlignment w:val="auto"/>
        <w:rPr>
          <w:rFonts w:hint="eastAsia" w:ascii="华文仿宋" w:hAnsi="华文仿宋" w:eastAsia="华文仿宋" w:cs="华文仿宋"/>
          <w:sz w:val="33"/>
          <w:szCs w:val="33"/>
        </w:rPr>
      </w:pPr>
      <w:r>
        <w:rPr>
          <w:rFonts w:hint="eastAsia" w:ascii="华文仿宋" w:hAnsi="华文仿宋" w:eastAsia="华文仿宋" w:cs="华文仿宋"/>
          <w:b/>
          <w:bCs/>
          <w:spacing w:val="-15"/>
          <w:sz w:val="33"/>
          <w:szCs w:val="33"/>
        </w:rPr>
        <w:t>供应商名称：</w:t>
      </w:r>
    </w:p>
    <w:p w14:paraId="435F5FA8">
      <w:pPr>
        <w:pageBreakBefore w:val="0"/>
        <w:widowControl w:val="0"/>
        <w:kinsoku/>
        <w:wordWrap/>
        <w:overflowPunct/>
        <w:topLinePunct w:val="0"/>
        <w:autoSpaceDE/>
        <w:autoSpaceDN/>
        <w:bidi w:val="0"/>
        <w:spacing w:before="200" w:line="240" w:lineRule="auto"/>
        <w:textAlignment w:val="auto"/>
        <w:rPr>
          <w:rFonts w:hint="eastAsia" w:ascii="华文仿宋" w:hAnsi="华文仿宋" w:eastAsia="华文仿宋" w:cs="华文仿宋"/>
          <w:b/>
          <w:bCs/>
          <w:spacing w:val="-20"/>
          <w:sz w:val="33"/>
          <w:szCs w:val="33"/>
        </w:rPr>
      </w:pPr>
      <w:r>
        <w:rPr>
          <w:rFonts w:hint="eastAsia" w:ascii="华文仿宋" w:hAnsi="华文仿宋" w:eastAsia="华文仿宋" w:cs="华文仿宋"/>
          <w:b/>
          <w:bCs/>
          <w:spacing w:val="-20"/>
          <w:sz w:val="33"/>
          <w:szCs w:val="33"/>
        </w:rPr>
        <w:t>法定代表人签章：</w:t>
      </w:r>
    </w:p>
    <w:p w14:paraId="7067AAF8">
      <w:pPr>
        <w:pageBreakBefore w:val="0"/>
        <w:widowControl w:val="0"/>
        <w:kinsoku/>
        <w:wordWrap/>
        <w:overflowPunct/>
        <w:topLinePunct w:val="0"/>
        <w:autoSpaceDE/>
        <w:autoSpaceDN/>
        <w:bidi w:val="0"/>
        <w:spacing w:before="200" w:line="240" w:lineRule="auto"/>
        <w:textAlignment w:val="auto"/>
        <w:rPr>
          <w:rFonts w:hint="eastAsia" w:ascii="华文仿宋" w:hAnsi="华文仿宋" w:eastAsia="华文仿宋" w:cs="华文仿宋"/>
          <w:b/>
          <w:bCs/>
          <w:color w:val="auto"/>
          <w:spacing w:val="4"/>
          <w:sz w:val="33"/>
          <w:szCs w:val="33"/>
          <w:highlight w:val="none"/>
        </w:rPr>
      </w:pPr>
      <w:r>
        <w:rPr>
          <w:rFonts w:hint="eastAsia" w:ascii="华文仿宋" w:hAnsi="华文仿宋" w:eastAsia="华文仿宋" w:cs="华文仿宋"/>
          <w:b/>
          <w:bCs/>
          <w:spacing w:val="4"/>
          <w:sz w:val="33"/>
          <w:szCs w:val="33"/>
        </w:rPr>
        <w:t>报价日期：</w:t>
      </w:r>
      <w:r>
        <w:rPr>
          <w:rFonts w:hint="eastAsia" w:ascii="华文仿宋" w:hAnsi="华文仿宋" w:eastAsia="华文仿宋" w:cs="华文仿宋"/>
          <w:b/>
          <w:bCs/>
          <w:spacing w:val="4"/>
          <w:sz w:val="33"/>
          <w:szCs w:val="33"/>
          <w:lang w:val="en-US" w:eastAsia="zh-CN"/>
        </w:rPr>
        <w:t xml:space="preserve">  </w:t>
      </w:r>
      <w:r>
        <w:rPr>
          <w:rFonts w:hint="eastAsia" w:ascii="华文仿宋" w:hAnsi="华文仿宋" w:eastAsia="华文仿宋" w:cs="华文仿宋"/>
          <w:b/>
          <w:bCs/>
          <w:spacing w:val="4"/>
          <w:sz w:val="33"/>
          <w:szCs w:val="33"/>
        </w:rPr>
        <w:t>年</w:t>
      </w:r>
      <w:r>
        <w:rPr>
          <w:rFonts w:hint="eastAsia" w:ascii="华文仿宋" w:hAnsi="华文仿宋" w:eastAsia="华文仿宋" w:cs="华文仿宋"/>
          <w:b/>
          <w:bCs/>
          <w:spacing w:val="4"/>
          <w:sz w:val="33"/>
          <w:szCs w:val="33"/>
          <w:lang w:val="en-US" w:eastAsia="zh-CN"/>
        </w:rPr>
        <w:t xml:space="preserve">  </w:t>
      </w:r>
      <w:r>
        <w:rPr>
          <w:rFonts w:hint="eastAsia" w:ascii="华文仿宋" w:hAnsi="华文仿宋" w:eastAsia="华文仿宋" w:cs="华文仿宋"/>
          <w:b/>
          <w:bCs/>
          <w:spacing w:val="4"/>
          <w:sz w:val="33"/>
          <w:szCs w:val="33"/>
        </w:rPr>
        <w:t>月</w:t>
      </w:r>
      <w:r>
        <w:rPr>
          <w:rFonts w:hint="eastAsia" w:ascii="华文仿宋" w:hAnsi="华文仿宋" w:eastAsia="华文仿宋" w:cs="华文仿宋"/>
          <w:b/>
          <w:bCs/>
          <w:spacing w:val="4"/>
          <w:sz w:val="33"/>
          <w:szCs w:val="33"/>
          <w:lang w:val="en-US" w:eastAsia="zh-CN"/>
        </w:rPr>
        <w:t xml:space="preserve">  </w:t>
      </w:r>
      <w:r>
        <w:rPr>
          <w:rFonts w:hint="eastAsia" w:ascii="华文仿宋" w:hAnsi="华文仿宋" w:eastAsia="华文仿宋" w:cs="华文仿宋"/>
          <w:b/>
          <w:bCs/>
          <w:spacing w:val="4"/>
          <w:sz w:val="33"/>
          <w:szCs w:val="33"/>
        </w:rPr>
        <w:t>日</w:t>
      </w:r>
      <w:r>
        <w:rPr>
          <w:rFonts w:hint="eastAsia" w:ascii="华文仿宋" w:hAnsi="华文仿宋" w:eastAsia="华文仿宋" w:cs="华文仿宋"/>
          <w:b/>
          <w:bCs/>
          <w:color w:val="auto"/>
          <w:spacing w:val="4"/>
          <w:sz w:val="33"/>
          <w:szCs w:val="33"/>
          <w:highlight w:val="none"/>
        </w:rPr>
        <w:br w:type="page"/>
      </w:r>
    </w:p>
    <w:p w14:paraId="333B491E">
      <w:pPr>
        <w:pStyle w:val="3"/>
        <w:pageBreakBefore w:val="0"/>
        <w:widowControl w:val="0"/>
        <w:kinsoku/>
        <w:wordWrap/>
        <w:overflowPunct/>
        <w:topLinePunct w:val="0"/>
        <w:autoSpaceDE/>
        <w:autoSpaceDN/>
        <w:bidi w:val="0"/>
        <w:spacing w:line="240" w:lineRule="auto"/>
        <w:jc w:val="center"/>
        <w:textAlignment w:val="auto"/>
        <w:rPr>
          <w:rFonts w:hint="eastAsia" w:ascii="宋体" w:hAnsi="宋体" w:eastAsia="宋体" w:cs="宋体"/>
          <w:bCs w:val="0"/>
          <w:color w:val="auto"/>
          <w:kern w:val="0"/>
          <w:sz w:val="44"/>
          <w:szCs w:val="44"/>
          <w:highlight w:val="none"/>
          <w:lang w:val="en-US" w:eastAsia="zh-CN"/>
        </w:rPr>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pPr>
    </w:p>
    <w:p w14:paraId="077B648C">
      <w:pPr>
        <w:spacing w:line="360" w:lineRule="auto"/>
        <w:jc w:val="center"/>
        <w:rPr>
          <w:rFonts w:hint="eastAsia" w:ascii="宋体" w:hAnsi="宋体" w:eastAsia="宋体"/>
          <w:b/>
          <w:bCs w:val="0"/>
          <w:color w:val="auto"/>
          <w:sz w:val="44"/>
          <w:szCs w:val="44"/>
          <w:highlight w:val="none"/>
          <w:lang w:val="en-US" w:eastAsia="zh-CN"/>
        </w:rPr>
      </w:pPr>
      <w:r>
        <w:rPr>
          <w:rFonts w:hint="eastAsia" w:ascii="宋体" w:hAnsi="宋体" w:eastAsia="宋体"/>
          <w:b/>
          <w:bCs w:val="0"/>
          <w:color w:val="auto"/>
          <w:sz w:val="44"/>
          <w:szCs w:val="44"/>
          <w:highlight w:val="none"/>
          <w:lang w:val="en-US" w:eastAsia="zh-CN"/>
        </w:rPr>
        <w:t>四、</w:t>
      </w:r>
      <w:r>
        <w:rPr>
          <w:rFonts w:hint="eastAsia" w:ascii="宋体" w:hAnsi="宋体" w:eastAsia="宋体" w:cs="宋体"/>
          <w:b/>
          <w:bCs w:val="0"/>
          <w:color w:val="auto"/>
          <w:sz w:val="44"/>
          <w:szCs w:val="44"/>
          <w:highlight w:val="none"/>
          <w:lang w:val="en-US" w:eastAsia="zh-CN" w:bidi="ar-SA"/>
        </w:rPr>
        <w:t>服务协议</w:t>
      </w:r>
    </w:p>
    <w:p w14:paraId="258EC696">
      <w:pPr>
        <w:spacing w:line="336" w:lineRule="auto"/>
        <w:jc w:val="left"/>
        <w:rPr>
          <w:rFonts w:hint="eastAsia" w:ascii="微软雅黑" w:hAnsi="微软雅黑" w:eastAsia="微软雅黑" w:cs="微软雅黑"/>
          <w:b/>
          <w:sz w:val="24"/>
        </w:rPr>
      </w:pPr>
      <w:r>
        <w:rPr>
          <w:rFonts w:hint="eastAsia" w:ascii="微软雅黑" w:hAnsi="微软雅黑" w:eastAsia="微软雅黑" w:cs="微软雅黑"/>
          <w:b/>
          <w:sz w:val="24"/>
        </w:rPr>
        <w:t xml:space="preserve">甲方（委托方）：四川省健康促进基金会      </w:t>
      </w:r>
    </w:p>
    <w:p w14:paraId="71652ACD">
      <w:pPr>
        <w:spacing w:line="336" w:lineRule="auto"/>
        <w:jc w:val="left"/>
        <w:rPr>
          <w:rFonts w:hint="eastAsia" w:ascii="微软雅黑" w:hAnsi="微软雅黑" w:eastAsia="微软雅黑" w:cs="微软雅黑"/>
          <w:b/>
        </w:rPr>
      </w:pPr>
      <w:r>
        <w:rPr>
          <w:rFonts w:hint="eastAsia" w:ascii="微软雅黑" w:hAnsi="微软雅黑" w:eastAsia="微软雅黑" w:cs="微软雅黑"/>
          <w:b/>
          <w:sz w:val="24"/>
        </w:rPr>
        <w:t>乙方（受托方）：</w:t>
      </w:r>
    </w:p>
    <w:p w14:paraId="5127F129">
      <w:pPr>
        <w:spacing w:line="336" w:lineRule="auto"/>
        <w:rPr>
          <w:rFonts w:hint="eastAsia" w:ascii="微软雅黑" w:hAnsi="微软雅黑" w:eastAsia="微软雅黑" w:cs="微软雅黑"/>
          <w:b/>
        </w:rPr>
      </w:pPr>
      <w:r>
        <w:rPr>
          <w:rFonts w:hint="eastAsia" w:ascii="微软雅黑" w:hAnsi="微软雅黑" w:eastAsia="微软雅黑" w:cs="微软雅黑"/>
          <w:b/>
        </w:rPr>
        <w:tab/>
      </w:r>
      <w:r>
        <w:rPr>
          <w:rFonts w:hint="eastAsia" w:ascii="微软雅黑" w:hAnsi="微软雅黑" w:eastAsia="微软雅黑" w:cs="微软雅黑"/>
          <w:b/>
        </w:rPr>
        <w:t>根据《中华人民共和国民法典》等有关法律法规规定，在自愿、平等的基础上，经过甲乙双方友好协商一致，就活动相关事宜及双方权利义务作出以下约定：</w:t>
      </w:r>
    </w:p>
    <w:p w14:paraId="045B80F3">
      <w:pPr>
        <w:numPr>
          <w:ilvl w:val="0"/>
          <w:numId w:val="7"/>
        </w:numPr>
        <w:adjustRightInd w:val="0"/>
        <w:snapToGrid w:val="0"/>
        <w:spacing w:line="336" w:lineRule="auto"/>
        <w:ind w:left="420" w:hanging="420" w:hangingChars="175"/>
        <w:jc w:val="left"/>
        <w:rPr>
          <w:rFonts w:hint="eastAsia" w:ascii="微软雅黑" w:hAnsi="微软雅黑" w:eastAsia="微软雅黑" w:cs="微软雅黑"/>
          <w:b/>
          <w:sz w:val="24"/>
        </w:rPr>
      </w:pPr>
      <w:r>
        <w:rPr>
          <w:rFonts w:hint="eastAsia" w:ascii="微软雅黑" w:hAnsi="微软雅黑" w:eastAsia="微软雅黑" w:cs="微软雅黑"/>
          <w:b/>
          <w:sz w:val="24"/>
        </w:rPr>
        <w:t>服务内容</w:t>
      </w:r>
    </w:p>
    <w:p w14:paraId="456E8F97">
      <w:pPr>
        <w:keepNext w:val="0"/>
        <w:keepLines w:val="0"/>
        <w:widowControl/>
        <w:suppressLineNumbers w:val="0"/>
        <w:ind w:firstLine="400" w:firstLineChars="200"/>
        <w:jc w:val="both"/>
        <w:rPr>
          <w:rFonts w:hint="eastAsia" w:ascii="微软雅黑" w:hAnsi="微软雅黑" w:eastAsia="微软雅黑" w:cs="微软雅黑"/>
        </w:rPr>
      </w:pPr>
      <w:r>
        <w:rPr>
          <w:rFonts w:hint="eastAsia" w:ascii="微软雅黑" w:hAnsi="微软雅黑" w:eastAsia="微软雅黑" w:cs="微软雅黑"/>
        </w:rPr>
        <w:t>乙方为甲方提供</w:t>
      </w:r>
      <w:r>
        <w:rPr>
          <w:rFonts w:hint="eastAsia" w:ascii="微软雅黑" w:hAnsi="微软雅黑" w:eastAsia="微软雅黑" w:cs="微软雅黑"/>
          <w:b/>
          <w:bCs/>
        </w:rPr>
        <w:t>“</w:t>
      </w:r>
      <w:r>
        <w:rPr>
          <w:rFonts w:hint="eastAsia" w:ascii="微软雅黑" w:hAnsi="微软雅黑" w:eastAsia="微软雅黑" w:cs="微软雅黑"/>
          <w:lang w:val="en-US" w:eastAsia="zh-CN"/>
        </w:rPr>
        <w:t>免疫性疾病规范化诊疗・网页投放公益科普项目”医学PPT课件定制制作服务和网页公益科普投放服务</w:t>
      </w:r>
      <w:r>
        <w:rPr>
          <w:rFonts w:hint="eastAsia" w:ascii="微软雅黑" w:hAnsi="微软雅黑" w:eastAsia="微软雅黑" w:cs="微软雅黑"/>
        </w:rPr>
        <w:t>。</w:t>
      </w:r>
    </w:p>
    <w:p w14:paraId="3D877F3A">
      <w:pPr>
        <w:numPr>
          <w:ilvl w:val="0"/>
          <w:numId w:val="8"/>
        </w:numPr>
        <w:adjustRightInd w:val="0"/>
        <w:snapToGrid w:val="0"/>
        <w:spacing w:line="336" w:lineRule="auto"/>
        <w:ind w:left="640" w:hanging="225"/>
        <w:rPr>
          <w:rFonts w:hint="eastAsia" w:ascii="微软雅黑" w:hAnsi="微软雅黑" w:eastAsia="微软雅黑" w:cs="微软雅黑"/>
          <w:highlight w:val="none"/>
        </w:rPr>
      </w:pPr>
      <w:r>
        <w:rPr>
          <w:rFonts w:hint="eastAsia" w:ascii="微软雅黑" w:hAnsi="微软雅黑" w:eastAsia="微软雅黑" w:cs="微软雅黑"/>
          <w:highlight w:val="none"/>
          <w:lang w:val="en-US" w:eastAsia="zh-CN"/>
        </w:rPr>
        <w:t>服务期限</w:t>
      </w:r>
      <w:r>
        <w:rPr>
          <w:rFonts w:hint="eastAsia" w:ascii="微软雅黑" w:hAnsi="微软雅黑" w:eastAsia="微软雅黑" w:cs="微软雅黑"/>
          <w:highlight w:val="none"/>
        </w:rPr>
        <w:t>：202</w:t>
      </w:r>
      <w:r>
        <w:rPr>
          <w:rFonts w:hint="eastAsia" w:ascii="微软雅黑" w:hAnsi="微软雅黑" w:eastAsia="微软雅黑" w:cs="微软雅黑"/>
          <w:highlight w:val="none"/>
          <w:lang w:val="en-US" w:eastAsia="zh-CN"/>
        </w:rPr>
        <w:t>6</w:t>
      </w:r>
      <w:r>
        <w:rPr>
          <w:rFonts w:hint="eastAsia" w:ascii="微软雅黑" w:hAnsi="微软雅黑" w:eastAsia="微软雅黑" w:cs="微软雅黑"/>
          <w:highlight w:val="none"/>
        </w:rPr>
        <w:t>年11月至2027年1</w:t>
      </w:r>
      <w:r>
        <w:rPr>
          <w:rFonts w:hint="eastAsia" w:ascii="微软雅黑" w:hAnsi="微软雅黑" w:eastAsia="微软雅黑" w:cs="微软雅黑"/>
          <w:highlight w:val="none"/>
          <w:lang w:val="en-US" w:eastAsia="zh-CN"/>
        </w:rPr>
        <w:t>1</w:t>
      </w:r>
      <w:r>
        <w:rPr>
          <w:rFonts w:hint="eastAsia" w:ascii="微软雅黑" w:hAnsi="微软雅黑" w:eastAsia="微软雅黑" w:cs="微软雅黑"/>
          <w:highlight w:val="none"/>
        </w:rPr>
        <w:t xml:space="preserve">月 </w:t>
      </w:r>
    </w:p>
    <w:p w14:paraId="1228B914">
      <w:pPr>
        <w:numPr>
          <w:ilvl w:val="0"/>
          <w:numId w:val="8"/>
        </w:numPr>
        <w:adjustRightInd w:val="0"/>
        <w:snapToGrid w:val="0"/>
        <w:spacing w:line="336" w:lineRule="auto"/>
        <w:ind w:left="640" w:hanging="225"/>
        <w:rPr>
          <w:rFonts w:hint="eastAsia" w:ascii="微软雅黑" w:hAnsi="微软雅黑" w:eastAsia="微软雅黑" w:cs="微软雅黑"/>
        </w:rPr>
      </w:pPr>
      <w:r>
        <w:rPr>
          <w:rFonts w:hint="eastAsia" w:ascii="微软雅黑" w:hAnsi="微软雅黑" w:eastAsia="微软雅黑" w:cs="微软雅黑"/>
        </w:rPr>
        <w:t xml:space="preserve">乙方负责按时保质完成本协议项下的所有服务内容，并对所提供的服务质量和合法性负责。若在项目执行中，服务内容因甲方的要求发生变化的，经双方协商一致达成书面补充协议后，以补充协议的内容为准。 </w:t>
      </w:r>
    </w:p>
    <w:p w14:paraId="3F50E20C">
      <w:pPr>
        <w:numPr>
          <w:ilvl w:val="0"/>
          <w:numId w:val="7"/>
        </w:numPr>
        <w:adjustRightInd w:val="0"/>
        <w:snapToGrid w:val="0"/>
        <w:spacing w:line="336" w:lineRule="auto"/>
        <w:ind w:left="420" w:hanging="420" w:hangingChars="175"/>
        <w:jc w:val="left"/>
        <w:rPr>
          <w:rFonts w:hint="eastAsia" w:ascii="微软雅黑" w:hAnsi="微软雅黑" w:eastAsia="微软雅黑" w:cs="微软雅黑"/>
          <w:b/>
          <w:sz w:val="24"/>
        </w:rPr>
      </w:pPr>
      <w:r>
        <w:rPr>
          <w:rFonts w:hint="eastAsia" w:ascii="微软雅黑" w:hAnsi="微软雅黑" w:eastAsia="微软雅黑" w:cs="微软雅黑"/>
          <w:b/>
          <w:sz w:val="24"/>
        </w:rPr>
        <w:t>服务费用及付款方式</w:t>
      </w:r>
    </w:p>
    <w:p w14:paraId="6F9AC18B">
      <w:pPr>
        <w:numPr>
          <w:ilvl w:val="0"/>
          <w:numId w:val="9"/>
        </w:numPr>
        <w:adjustRightInd w:val="0"/>
        <w:snapToGrid w:val="0"/>
        <w:spacing w:line="336" w:lineRule="auto"/>
        <w:ind w:left="625" w:hanging="205"/>
        <w:rPr>
          <w:rFonts w:hint="eastAsia" w:ascii="微软雅黑" w:hAnsi="微软雅黑" w:eastAsia="微软雅黑" w:cs="微软雅黑"/>
        </w:rPr>
      </w:pPr>
      <w:r>
        <w:rPr>
          <w:rFonts w:hint="eastAsia" w:ascii="微软雅黑" w:hAnsi="微软雅黑" w:eastAsia="微软雅黑" w:cs="微软雅黑"/>
          <w:lang w:val="en-US" w:eastAsia="zh-CN"/>
        </w:rPr>
        <w:t>协议总金额为_______元。</w:t>
      </w:r>
    </w:p>
    <w:p w14:paraId="4BDFCAE6">
      <w:pPr>
        <w:numPr>
          <w:ilvl w:val="0"/>
          <w:numId w:val="9"/>
        </w:numPr>
        <w:adjustRightInd w:val="0"/>
        <w:snapToGrid w:val="0"/>
        <w:spacing w:line="336" w:lineRule="auto"/>
        <w:ind w:left="625" w:hanging="205"/>
        <w:rPr>
          <w:rFonts w:hint="eastAsia" w:ascii="微软雅黑" w:hAnsi="微软雅黑" w:eastAsia="微软雅黑" w:cs="微软雅黑"/>
        </w:rPr>
      </w:pPr>
      <w:r>
        <w:rPr>
          <w:rFonts w:hint="eastAsia" w:ascii="微软雅黑" w:hAnsi="微软雅黑" w:eastAsia="微软雅黑" w:cs="微软雅黑"/>
        </w:rPr>
        <w:t>本项目款项分两期支付：第一期为合同总价款60%</w:t>
      </w:r>
      <w:r>
        <w:rPr>
          <w:rFonts w:hint="eastAsia" w:ascii="微软雅黑" w:hAnsi="微软雅黑" w:eastAsia="微软雅黑" w:cs="微软雅黑"/>
          <w:lang w:eastAsia="zh-CN"/>
        </w:rPr>
        <w:t>，</w:t>
      </w:r>
      <w:r>
        <w:rPr>
          <w:rFonts w:hint="eastAsia" w:ascii="微软雅黑" w:hAnsi="微软雅黑" w:eastAsia="微软雅黑" w:cs="微软雅黑"/>
          <w:lang w:val="en-US" w:eastAsia="zh-CN"/>
        </w:rPr>
        <w:t>人民币________元</w:t>
      </w:r>
      <w:r>
        <w:rPr>
          <w:rFonts w:hint="eastAsia" w:ascii="微软雅黑" w:hAnsi="微软雅黑" w:eastAsia="微软雅黑" w:cs="微软雅黑"/>
        </w:rPr>
        <w:t>，协议生效后，乙方开具等额增值税专用发票，甲方收讫合规发票后15个工作日内支付；第二期为合同总价款 40%</w:t>
      </w:r>
      <w:r>
        <w:rPr>
          <w:rFonts w:hint="eastAsia" w:ascii="微软雅黑" w:hAnsi="微软雅黑" w:eastAsia="微软雅黑" w:cs="微软雅黑"/>
          <w:lang w:eastAsia="zh-CN"/>
        </w:rPr>
        <w:t>，</w:t>
      </w:r>
      <w:r>
        <w:rPr>
          <w:rFonts w:hint="eastAsia" w:ascii="微软雅黑" w:hAnsi="微软雅黑" w:eastAsia="微软雅黑" w:cs="微软雅黑"/>
          <w:lang w:val="en-US" w:eastAsia="zh-CN"/>
        </w:rPr>
        <w:t>人民币________元</w:t>
      </w:r>
      <w:r>
        <w:rPr>
          <w:rFonts w:hint="eastAsia" w:ascii="微软雅黑" w:hAnsi="微软雅黑" w:eastAsia="微软雅黑" w:cs="微软雅黑"/>
        </w:rPr>
        <w:t>，甲方收讫乙方提交的项目完成佐证资料及对应增值税专用发票后15个工作日内支付。</w:t>
      </w:r>
    </w:p>
    <w:p w14:paraId="283A2B04">
      <w:pPr>
        <w:numPr>
          <w:ilvl w:val="0"/>
          <w:numId w:val="9"/>
        </w:numPr>
        <w:adjustRightInd w:val="0"/>
        <w:snapToGrid w:val="0"/>
        <w:spacing w:line="336" w:lineRule="auto"/>
        <w:ind w:left="625" w:hanging="205"/>
        <w:rPr>
          <w:rFonts w:hint="eastAsia" w:ascii="微软雅黑" w:hAnsi="微软雅黑" w:eastAsia="微软雅黑" w:cs="微软雅黑"/>
        </w:rPr>
      </w:pPr>
      <w:r>
        <w:rPr>
          <w:rFonts w:hint="eastAsia" w:ascii="微软雅黑" w:hAnsi="微软雅黑" w:eastAsia="微软雅黑" w:cs="微软雅黑"/>
        </w:rPr>
        <w:t>甲方以汇款或现金与乙方结算，乙方汇款对公账户信息如下：</w:t>
      </w:r>
    </w:p>
    <w:p w14:paraId="5A90FE0F">
      <w:pPr>
        <w:adjustRightInd w:val="0"/>
        <w:snapToGrid w:val="0"/>
        <w:spacing w:line="336" w:lineRule="auto"/>
        <w:ind w:left="420" w:firstLine="208" w:firstLineChars="104"/>
        <w:rPr>
          <w:rFonts w:hint="eastAsia" w:ascii="微软雅黑" w:hAnsi="微软雅黑" w:eastAsia="微软雅黑" w:cs="微软雅黑"/>
        </w:rPr>
      </w:pPr>
      <w:r>
        <w:rPr>
          <w:rFonts w:hint="eastAsia" w:ascii="微软雅黑" w:hAnsi="微软雅黑" w:eastAsia="微软雅黑" w:cs="微软雅黑"/>
        </w:rPr>
        <w:t xml:space="preserve">名称：   </w:t>
      </w:r>
    </w:p>
    <w:p w14:paraId="076F7BD7">
      <w:pPr>
        <w:adjustRightInd w:val="0"/>
        <w:snapToGrid w:val="0"/>
        <w:spacing w:line="336" w:lineRule="auto"/>
        <w:ind w:left="420" w:firstLine="208" w:firstLineChars="104"/>
        <w:rPr>
          <w:rFonts w:hint="eastAsia" w:ascii="微软雅黑" w:hAnsi="微软雅黑" w:eastAsia="微软雅黑" w:cs="微软雅黑"/>
        </w:rPr>
      </w:pPr>
      <w:r>
        <w:rPr>
          <w:rFonts w:hint="eastAsia" w:ascii="微软雅黑" w:hAnsi="微软雅黑" w:eastAsia="微软雅黑" w:cs="微软雅黑"/>
        </w:rPr>
        <w:t xml:space="preserve">开户行： </w:t>
      </w:r>
    </w:p>
    <w:p w14:paraId="5AEE9A48">
      <w:pPr>
        <w:adjustRightInd w:val="0"/>
        <w:snapToGrid w:val="0"/>
        <w:spacing w:line="336" w:lineRule="auto"/>
        <w:ind w:left="420" w:firstLine="208" w:firstLineChars="104"/>
        <w:rPr>
          <w:rFonts w:hint="eastAsia" w:ascii="微软雅黑" w:hAnsi="微软雅黑" w:eastAsia="微软雅黑" w:cs="微软雅黑"/>
        </w:rPr>
      </w:pPr>
      <w:r>
        <w:rPr>
          <w:rFonts w:hint="eastAsia" w:ascii="微软雅黑" w:hAnsi="微软雅黑" w:eastAsia="微软雅黑" w:cs="微软雅黑"/>
        </w:rPr>
        <w:t xml:space="preserve">账号： </w:t>
      </w:r>
    </w:p>
    <w:p w14:paraId="0EA19852">
      <w:pPr>
        <w:numPr>
          <w:ilvl w:val="0"/>
          <w:numId w:val="7"/>
        </w:numPr>
        <w:adjustRightInd w:val="0"/>
        <w:snapToGrid w:val="0"/>
        <w:spacing w:line="336" w:lineRule="auto"/>
        <w:ind w:left="420" w:hanging="420" w:hangingChars="175"/>
        <w:jc w:val="left"/>
        <w:rPr>
          <w:rFonts w:hint="eastAsia" w:ascii="微软雅黑" w:hAnsi="微软雅黑" w:eastAsia="微软雅黑" w:cs="微软雅黑"/>
          <w:b/>
          <w:sz w:val="24"/>
        </w:rPr>
      </w:pPr>
      <w:r>
        <w:rPr>
          <w:rFonts w:hint="eastAsia" w:ascii="微软雅黑" w:hAnsi="微软雅黑" w:eastAsia="微软雅黑" w:cs="微软雅黑"/>
          <w:b/>
          <w:sz w:val="24"/>
        </w:rPr>
        <w:t>协议的变更和解除</w:t>
      </w:r>
    </w:p>
    <w:p w14:paraId="685D454C">
      <w:pPr>
        <w:numPr>
          <w:ilvl w:val="0"/>
          <w:numId w:val="10"/>
        </w:numPr>
        <w:adjustRightInd w:val="0"/>
        <w:snapToGrid w:val="0"/>
        <w:spacing w:line="336" w:lineRule="auto"/>
        <w:ind w:left="625" w:hanging="205"/>
        <w:rPr>
          <w:rFonts w:hint="eastAsia" w:ascii="微软雅黑" w:hAnsi="微软雅黑" w:eastAsia="微软雅黑" w:cs="微软雅黑"/>
        </w:rPr>
      </w:pPr>
      <w:r>
        <w:rPr>
          <w:rFonts w:hint="eastAsia" w:ascii="微软雅黑" w:hAnsi="微软雅黑" w:eastAsia="微软雅黑" w:cs="微软雅黑"/>
        </w:rPr>
        <w:t>双方约定，本协议一经生效，任何变更均必须经过双方书面签署后方可有效，任何一方单方做出额外或不同的条款均属无效。</w:t>
      </w:r>
    </w:p>
    <w:p w14:paraId="5D3867B3">
      <w:pPr>
        <w:numPr>
          <w:ilvl w:val="0"/>
          <w:numId w:val="10"/>
        </w:numPr>
        <w:adjustRightInd w:val="0"/>
        <w:snapToGrid w:val="0"/>
        <w:spacing w:line="336" w:lineRule="auto"/>
        <w:ind w:left="625" w:hanging="205"/>
        <w:rPr>
          <w:rFonts w:hint="eastAsia" w:ascii="微软雅黑" w:hAnsi="微软雅黑" w:eastAsia="微软雅黑" w:cs="微软雅黑"/>
        </w:rPr>
      </w:pPr>
      <w:r>
        <w:rPr>
          <w:rFonts w:hint="eastAsia" w:ascii="微软雅黑" w:hAnsi="微软雅黑" w:eastAsia="微软雅黑" w:cs="微软雅黑"/>
        </w:rPr>
        <w:t>双方经协商达成一致，可以对协议进行变更或解除。</w:t>
      </w:r>
    </w:p>
    <w:p w14:paraId="57EF17DD">
      <w:pPr>
        <w:numPr>
          <w:ilvl w:val="0"/>
          <w:numId w:val="10"/>
        </w:numPr>
        <w:adjustRightInd w:val="0"/>
        <w:snapToGrid w:val="0"/>
        <w:spacing w:line="336" w:lineRule="auto"/>
        <w:ind w:left="625" w:hanging="205"/>
        <w:rPr>
          <w:rFonts w:hint="eastAsia" w:ascii="微软雅黑" w:hAnsi="微软雅黑" w:eastAsia="微软雅黑" w:cs="微软雅黑"/>
        </w:rPr>
      </w:pPr>
      <w:r>
        <w:rPr>
          <w:rFonts w:hint="eastAsia" w:ascii="微软雅黑" w:hAnsi="微软雅黑" w:eastAsia="微软雅黑" w:cs="微软雅黑"/>
        </w:rPr>
        <w:t>破产或无清偿能力终止协议</w:t>
      </w:r>
    </w:p>
    <w:p w14:paraId="0A737153">
      <w:pPr>
        <w:adjustRightInd w:val="0"/>
        <w:snapToGrid w:val="0"/>
        <w:spacing w:line="336" w:lineRule="auto"/>
        <w:ind w:left="640"/>
        <w:rPr>
          <w:rFonts w:hint="eastAsia" w:ascii="微软雅黑" w:hAnsi="微软雅黑" w:eastAsia="微软雅黑" w:cs="微软雅黑"/>
        </w:rPr>
      </w:pPr>
      <w:r>
        <w:rPr>
          <w:rFonts w:hint="eastAsia" w:ascii="微软雅黑" w:hAnsi="微软雅黑" w:eastAsia="微软雅黑" w:cs="微软雅黑"/>
        </w:rPr>
        <w:t xml:space="preserve">如果乙方进入破产、解散程序或者发生任何导致丧失履约能力的情况，甲方可在任何时候以书面形式通知乙方解除协议，该协议的解除将不损害或影响甲方已经采取或将要采取的任何行动或补救措施的权利。乙方应赔偿甲方因本协议解除而造成所有损害。 </w:t>
      </w:r>
    </w:p>
    <w:p w14:paraId="09CF302F">
      <w:pPr>
        <w:numPr>
          <w:ilvl w:val="0"/>
          <w:numId w:val="7"/>
        </w:numPr>
        <w:adjustRightInd w:val="0"/>
        <w:snapToGrid w:val="0"/>
        <w:spacing w:line="336" w:lineRule="auto"/>
        <w:ind w:left="420" w:hanging="420" w:hangingChars="175"/>
        <w:jc w:val="left"/>
        <w:rPr>
          <w:rFonts w:hint="eastAsia" w:ascii="微软雅黑" w:hAnsi="微软雅黑" w:eastAsia="微软雅黑" w:cs="微软雅黑"/>
          <w:b/>
          <w:sz w:val="24"/>
        </w:rPr>
      </w:pPr>
      <w:r>
        <w:rPr>
          <w:rFonts w:hint="eastAsia" w:ascii="微软雅黑" w:hAnsi="微软雅黑" w:eastAsia="微软雅黑" w:cs="微软雅黑"/>
          <w:b/>
          <w:sz w:val="24"/>
        </w:rPr>
        <w:t>争议的解决方法</w:t>
      </w:r>
    </w:p>
    <w:p w14:paraId="6C7822EF">
      <w:pPr>
        <w:numPr>
          <w:ilvl w:val="0"/>
          <w:numId w:val="11"/>
        </w:numPr>
        <w:adjustRightInd w:val="0"/>
        <w:snapToGrid w:val="0"/>
        <w:spacing w:line="336" w:lineRule="auto"/>
        <w:ind w:left="625" w:hanging="205"/>
        <w:rPr>
          <w:rFonts w:hint="eastAsia" w:ascii="微软雅黑" w:hAnsi="微软雅黑" w:eastAsia="微软雅黑" w:cs="微软雅黑"/>
        </w:rPr>
      </w:pPr>
      <w:r>
        <w:rPr>
          <w:rFonts w:hint="eastAsia" w:ascii="微软雅黑" w:hAnsi="微软雅黑" w:eastAsia="微软雅黑" w:cs="微软雅黑"/>
        </w:rPr>
        <w:t>在本协议履行过程发生争议，双方应本着互利、协作、负责的精神，协商解决。</w:t>
      </w:r>
    </w:p>
    <w:p w14:paraId="57E11CF0">
      <w:pPr>
        <w:numPr>
          <w:ilvl w:val="0"/>
          <w:numId w:val="11"/>
        </w:numPr>
        <w:adjustRightInd w:val="0"/>
        <w:snapToGrid w:val="0"/>
        <w:spacing w:line="336" w:lineRule="auto"/>
        <w:ind w:left="625" w:hanging="205"/>
        <w:rPr>
          <w:rFonts w:hint="eastAsia" w:ascii="微软雅黑" w:hAnsi="微软雅黑" w:eastAsia="微软雅黑" w:cs="微软雅黑"/>
        </w:rPr>
      </w:pPr>
      <w:r>
        <w:rPr>
          <w:rFonts w:hint="eastAsia" w:ascii="微软雅黑" w:hAnsi="微软雅黑" w:eastAsia="微软雅黑" w:cs="微软雅黑"/>
        </w:rPr>
        <w:t>双方经协商、调解仍不能解决问题时，双方约定向甲方住所地有管辖权的人民法院提起诉讼。</w:t>
      </w:r>
    </w:p>
    <w:p w14:paraId="7220159A">
      <w:pPr>
        <w:numPr>
          <w:ilvl w:val="0"/>
          <w:numId w:val="7"/>
        </w:numPr>
        <w:adjustRightInd w:val="0"/>
        <w:snapToGrid w:val="0"/>
        <w:spacing w:line="336" w:lineRule="auto"/>
        <w:ind w:left="420" w:hanging="420" w:hangingChars="175"/>
        <w:jc w:val="left"/>
        <w:rPr>
          <w:rFonts w:hint="eastAsia" w:ascii="微软雅黑" w:hAnsi="微软雅黑" w:eastAsia="微软雅黑" w:cs="微软雅黑"/>
          <w:b/>
          <w:sz w:val="24"/>
        </w:rPr>
      </w:pPr>
      <w:r>
        <w:rPr>
          <w:rFonts w:hint="eastAsia" w:ascii="微软雅黑" w:hAnsi="微软雅黑" w:eastAsia="微软雅黑" w:cs="微软雅黑"/>
          <w:b/>
          <w:sz w:val="24"/>
        </w:rPr>
        <w:t>违约金或者损失赔偿额的计算方法</w:t>
      </w:r>
    </w:p>
    <w:p w14:paraId="53E99CCC">
      <w:pPr>
        <w:spacing w:line="336" w:lineRule="auto"/>
        <w:ind w:firstLine="400" w:firstLineChars="200"/>
        <w:rPr>
          <w:rFonts w:hint="eastAsia" w:ascii="微软雅黑" w:hAnsi="微软雅黑" w:eastAsia="微软雅黑" w:cs="微软雅黑"/>
        </w:rPr>
      </w:pPr>
      <w:r>
        <w:rPr>
          <w:rFonts w:hint="eastAsia" w:ascii="微软雅黑" w:hAnsi="微软雅黑" w:eastAsia="微软雅黑" w:cs="微软雅黑"/>
        </w:rPr>
        <w:t>甲、乙双方违反本协议约定，违约方应当按《中华人民共和国民法典》规定，承担以下违约责任：</w:t>
      </w:r>
    </w:p>
    <w:p w14:paraId="44310EA8">
      <w:pPr>
        <w:numPr>
          <w:ilvl w:val="0"/>
          <w:numId w:val="12"/>
        </w:numPr>
        <w:adjustRightInd w:val="0"/>
        <w:snapToGrid w:val="0"/>
        <w:spacing w:line="336" w:lineRule="auto"/>
        <w:ind w:left="625" w:hanging="205"/>
        <w:rPr>
          <w:rFonts w:hint="eastAsia" w:ascii="微软雅黑" w:hAnsi="微软雅黑" w:eastAsia="微软雅黑" w:cs="微软雅黑"/>
        </w:rPr>
      </w:pPr>
      <w:r>
        <w:rPr>
          <w:rFonts w:hint="eastAsia" w:ascii="微软雅黑" w:hAnsi="微软雅黑" w:eastAsia="微软雅黑" w:cs="微软雅黑"/>
        </w:rPr>
        <w:t xml:space="preserve">乙方严格按协议履约后，甲方应严格按本协议的要求履行付款义务。 </w:t>
      </w:r>
    </w:p>
    <w:p w14:paraId="290C26FD">
      <w:pPr>
        <w:numPr>
          <w:ilvl w:val="0"/>
          <w:numId w:val="12"/>
        </w:numPr>
        <w:adjustRightInd w:val="0"/>
        <w:snapToGrid w:val="0"/>
        <w:spacing w:line="336" w:lineRule="auto"/>
        <w:ind w:left="625" w:hanging="205"/>
        <w:rPr>
          <w:rFonts w:hint="eastAsia" w:ascii="微软雅黑" w:hAnsi="微软雅黑" w:eastAsia="微软雅黑" w:cs="微软雅黑"/>
        </w:rPr>
      </w:pPr>
      <w:r>
        <w:rPr>
          <w:rFonts w:hint="eastAsia" w:ascii="微软雅黑" w:hAnsi="微软雅黑" w:eastAsia="微软雅黑" w:cs="微软雅黑"/>
        </w:rPr>
        <w:t>若因乙方未按照本协议约定事项提供服务及回报，甲方有权要求乙方改正并支付本协议总费用10% 的违约金，若乙方在10日内仍未予以改正的，甲方有权单方解除本协议，并要求乙方承担相当于本协议总费用30%的违约金。</w:t>
      </w:r>
    </w:p>
    <w:p w14:paraId="52407739">
      <w:pPr>
        <w:numPr>
          <w:ilvl w:val="0"/>
          <w:numId w:val="12"/>
        </w:numPr>
        <w:adjustRightInd w:val="0"/>
        <w:snapToGrid w:val="0"/>
        <w:spacing w:line="336" w:lineRule="auto"/>
        <w:ind w:left="625" w:hanging="205"/>
        <w:rPr>
          <w:rFonts w:hint="eastAsia" w:ascii="微软雅黑" w:hAnsi="微软雅黑" w:eastAsia="微软雅黑" w:cs="微软雅黑"/>
        </w:rPr>
      </w:pPr>
      <w:r>
        <w:rPr>
          <w:rFonts w:hint="eastAsia" w:ascii="微软雅黑" w:hAnsi="微软雅黑" w:eastAsia="微软雅黑" w:cs="微软雅黑"/>
        </w:rPr>
        <w:t>乙方不得向与其有实际或潜在业务关系的甲方或甲方关联公司的员工或家属提供任何酬金、礼物或其他有形或无形的利益，此类行为视为商业贿赂，一经发现，甲方除可以解除本协议外，还可要求乙方支付本协议总费用30%的违约金。</w:t>
      </w:r>
    </w:p>
    <w:p w14:paraId="0E2AB235">
      <w:pPr>
        <w:numPr>
          <w:ilvl w:val="0"/>
          <w:numId w:val="12"/>
        </w:numPr>
        <w:adjustRightInd w:val="0"/>
        <w:snapToGrid w:val="0"/>
        <w:spacing w:line="336" w:lineRule="auto"/>
        <w:ind w:left="625" w:hanging="205"/>
        <w:rPr>
          <w:rFonts w:hint="eastAsia" w:ascii="微软雅黑" w:hAnsi="微软雅黑" w:eastAsia="微软雅黑" w:cs="微软雅黑"/>
        </w:rPr>
      </w:pPr>
      <w:r>
        <w:rPr>
          <w:rFonts w:hint="eastAsia" w:ascii="微软雅黑" w:hAnsi="微软雅黑" w:eastAsia="微软雅黑" w:cs="微软雅黑"/>
        </w:rPr>
        <w:t>因乙方违约而产生的违约金、损害赔偿或其他费用（统称“违约金”），可由甲方在应付款项中直接扣除，如应付款项在扣除违约金后仍有剩余的，则剩余部分由甲方按照协议约定支付给乙方；如应付款项不足以扣除违约金的，不足部分由乙方按照协议约定另行支付给甲方。</w:t>
      </w:r>
    </w:p>
    <w:p w14:paraId="17034F55">
      <w:pPr>
        <w:numPr>
          <w:ilvl w:val="0"/>
          <w:numId w:val="12"/>
        </w:numPr>
        <w:adjustRightInd w:val="0"/>
        <w:snapToGrid w:val="0"/>
        <w:spacing w:line="336" w:lineRule="auto"/>
        <w:ind w:left="625" w:hanging="205"/>
        <w:rPr>
          <w:rFonts w:hint="eastAsia" w:ascii="微软雅黑" w:hAnsi="微软雅黑" w:eastAsia="微软雅黑" w:cs="微软雅黑"/>
        </w:rPr>
      </w:pPr>
      <w:r>
        <w:rPr>
          <w:rFonts w:hint="eastAsia" w:ascii="微软雅黑" w:hAnsi="微软雅黑" w:eastAsia="微软雅黑" w:cs="微软雅黑"/>
        </w:rPr>
        <w:t>甲方单方面提前解除本协议，但由此给乙方造成的直接经济损失由甲方承担，并且向乙方支付总金额的80%违约赔偿金。本协议自甲方发出的书面通知到达乙方时自动终止。</w:t>
      </w:r>
    </w:p>
    <w:p w14:paraId="75072C91">
      <w:pPr>
        <w:numPr>
          <w:ilvl w:val="0"/>
          <w:numId w:val="7"/>
        </w:numPr>
        <w:adjustRightInd w:val="0"/>
        <w:snapToGrid w:val="0"/>
        <w:spacing w:line="336" w:lineRule="auto"/>
        <w:ind w:left="420" w:hanging="420" w:hangingChars="175"/>
        <w:jc w:val="left"/>
        <w:rPr>
          <w:rFonts w:hint="eastAsia" w:ascii="微软雅黑" w:hAnsi="微软雅黑" w:eastAsia="微软雅黑" w:cs="微软雅黑"/>
          <w:b/>
          <w:sz w:val="24"/>
        </w:rPr>
      </w:pPr>
      <w:r>
        <w:rPr>
          <w:rFonts w:hint="eastAsia" w:ascii="微软雅黑" w:hAnsi="微软雅黑" w:eastAsia="微软雅黑" w:cs="微软雅黑"/>
          <w:b/>
          <w:sz w:val="24"/>
        </w:rPr>
        <w:t>权利担保</w:t>
      </w:r>
    </w:p>
    <w:p w14:paraId="2F45BBD3">
      <w:pPr>
        <w:numPr>
          <w:ilvl w:val="0"/>
          <w:numId w:val="13"/>
        </w:numPr>
        <w:adjustRightInd w:val="0"/>
        <w:snapToGrid w:val="0"/>
        <w:spacing w:line="336" w:lineRule="auto"/>
        <w:ind w:left="625" w:hanging="205"/>
        <w:rPr>
          <w:rFonts w:hint="eastAsia" w:ascii="微软雅黑" w:hAnsi="微软雅黑" w:eastAsia="微软雅黑" w:cs="微软雅黑"/>
        </w:rPr>
      </w:pPr>
      <w:r>
        <w:rPr>
          <w:rFonts w:hint="eastAsia" w:ascii="微软雅黑" w:hAnsi="微软雅黑" w:eastAsia="微软雅黑" w:cs="微软雅黑"/>
        </w:rPr>
        <w:t xml:space="preserve">乙方保证拥有成为本合同项下适格的服务方所需具备的任何资质和权利，并保证所提供的服务内容不会侵犯任何第三方的任何合法权利。 </w:t>
      </w:r>
    </w:p>
    <w:p w14:paraId="21435EF4">
      <w:pPr>
        <w:numPr>
          <w:ilvl w:val="0"/>
          <w:numId w:val="13"/>
        </w:numPr>
        <w:adjustRightInd w:val="0"/>
        <w:snapToGrid w:val="0"/>
        <w:spacing w:line="336" w:lineRule="auto"/>
        <w:ind w:left="625" w:hanging="205"/>
        <w:rPr>
          <w:rFonts w:hint="eastAsia" w:ascii="微软雅黑" w:hAnsi="微软雅黑" w:eastAsia="微软雅黑" w:cs="微软雅黑"/>
        </w:rPr>
      </w:pPr>
      <w:r>
        <w:rPr>
          <w:rFonts w:hint="eastAsia" w:ascii="微软雅黑" w:hAnsi="微软雅黑" w:eastAsia="微软雅黑" w:cs="微软雅黑"/>
        </w:rPr>
        <w:t>若因乙方原因造成费用超过上述报价的，超出部分由乙方承担，甲方不承担任何新增费用。</w:t>
      </w:r>
    </w:p>
    <w:p w14:paraId="309E6D31">
      <w:pPr>
        <w:numPr>
          <w:ilvl w:val="0"/>
          <w:numId w:val="13"/>
        </w:numPr>
        <w:adjustRightInd w:val="0"/>
        <w:snapToGrid w:val="0"/>
        <w:spacing w:line="336" w:lineRule="auto"/>
        <w:ind w:left="625" w:hanging="205"/>
        <w:rPr>
          <w:rFonts w:hint="eastAsia" w:ascii="微软雅黑" w:hAnsi="微软雅黑" w:eastAsia="微软雅黑" w:cs="微软雅黑"/>
        </w:rPr>
      </w:pPr>
      <w:r>
        <w:rPr>
          <w:rFonts w:hint="eastAsia" w:ascii="微软雅黑" w:hAnsi="微软雅黑" w:eastAsia="微软雅黑" w:cs="微软雅黑"/>
        </w:rPr>
        <w:t>对乙方所提供服务而引起的第三方权益纠纷，乙方应在收到甲方书面通知后5日内以自身人力与费用解决该等纠纷，同时乙方应负责赔偿甲方因此而遭受的全部损失和费用（包括但不限于调查费用、法院诉讼的费用、合理的律师费、损害赔偿费用、罚款、交通费以及其它所有的损失或损害费用等）。</w:t>
      </w:r>
    </w:p>
    <w:p w14:paraId="48CFAD45">
      <w:pPr>
        <w:numPr>
          <w:ilvl w:val="0"/>
          <w:numId w:val="7"/>
        </w:numPr>
        <w:adjustRightInd w:val="0"/>
        <w:snapToGrid w:val="0"/>
        <w:spacing w:line="336" w:lineRule="auto"/>
        <w:ind w:left="420" w:hanging="420" w:hangingChars="175"/>
        <w:jc w:val="left"/>
        <w:rPr>
          <w:rFonts w:hint="eastAsia" w:ascii="微软雅黑" w:hAnsi="微软雅黑" w:eastAsia="微软雅黑" w:cs="微软雅黑"/>
          <w:b/>
          <w:sz w:val="24"/>
        </w:rPr>
      </w:pPr>
      <w:r>
        <w:rPr>
          <w:rFonts w:hint="eastAsia" w:ascii="微软雅黑" w:hAnsi="微软雅黑" w:eastAsia="微软雅黑" w:cs="微软雅黑"/>
          <w:b/>
          <w:sz w:val="24"/>
        </w:rPr>
        <w:t>不可抗力</w:t>
      </w:r>
    </w:p>
    <w:p w14:paraId="6236F9F2">
      <w:pPr>
        <w:numPr>
          <w:ilvl w:val="0"/>
          <w:numId w:val="14"/>
        </w:numPr>
        <w:adjustRightInd w:val="0"/>
        <w:snapToGrid w:val="0"/>
        <w:spacing w:line="336" w:lineRule="auto"/>
        <w:ind w:left="625" w:hanging="205"/>
        <w:rPr>
          <w:rFonts w:hint="eastAsia" w:ascii="微软雅黑" w:hAnsi="微软雅黑" w:eastAsia="微软雅黑" w:cs="微软雅黑"/>
        </w:rPr>
      </w:pPr>
      <w:r>
        <w:rPr>
          <w:rFonts w:hint="eastAsia" w:ascii="微软雅黑" w:hAnsi="微软雅黑" w:eastAsia="微软雅黑" w:cs="微软雅黑"/>
        </w:rPr>
        <w:t>不可抗力事件包括火灾、水灾、地震、台风、自然灾害、突发疫情、战争、罢工等不能预见、不能避免并不能克服的事由。</w:t>
      </w:r>
    </w:p>
    <w:p w14:paraId="721F967F">
      <w:pPr>
        <w:numPr>
          <w:ilvl w:val="0"/>
          <w:numId w:val="14"/>
        </w:numPr>
        <w:adjustRightInd w:val="0"/>
        <w:snapToGrid w:val="0"/>
        <w:spacing w:line="336" w:lineRule="auto"/>
        <w:ind w:left="625" w:hanging="205"/>
        <w:rPr>
          <w:rFonts w:hint="eastAsia" w:ascii="微软雅黑" w:hAnsi="微软雅黑" w:eastAsia="微软雅黑" w:cs="微软雅黑"/>
        </w:rPr>
      </w:pPr>
      <w:r>
        <w:rPr>
          <w:rFonts w:hint="eastAsia" w:ascii="微软雅黑" w:hAnsi="微软雅黑" w:eastAsia="微软雅黑" w:cs="微软雅黑"/>
        </w:rPr>
        <w:t>如发生不可抗力事件，受不可抗力事件影响的一方应在不可抗力发生后不迟于十四天内，将不可抗力事件的发生、预计延续的时间和终止情况书面通知另一方。双方同意，可据此免除全部或部分责任。</w:t>
      </w:r>
    </w:p>
    <w:p w14:paraId="40DD8152">
      <w:pPr>
        <w:numPr>
          <w:ilvl w:val="0"/>
          <w:numId w:val="14"/>
        </w:numPr>
        <w:adjustRightInd w:val="0"/>
        <w:snapToGrid w:val="0"/>
        <w:spacing w:line="336" w:lineRule="auto"/>
        <w:ind w:left="625" w:hanging="205"/>
        <w:rPr>
          <w:rFonts w:hint="eastAsia" w:ascii="微软雅黑" w:hAnsi="微软雅黑" w:eastAsia="微软雅黑" w:cs="微软雅黑"/>
        </w:rPr>
      </w:pPr>
      <w:r>
        <w:rPr>
          <w:rFonts w:hint="eastAsia" w:ascii="微软雅黑" w:hAnsi="微软雅黑" w:eastAsia="微软雅黑" w:cs="微软雅黑"/>
        </w:rPr>
        <w:t>受不可抗力事件影响的一方有责任在发生不可抗力事件时采取力所能及的补救措施以尽量减少给双方带来的损失，由此支付的费用由双方依据受益比例合理分担。如因受不可抗力事件影响的一方未采取补救措施导致损失扩大，受不可抗力事件影响的一方应就损失扩大部分承担赔偿责任。</w:t>
      </w:r>
    </w:p>
    <w:p w14:paraId="0CB6F1F2">
      <w:pPr>
        <w:numPr>
          <w:ilvl w:val="0"/>
          <w:numId w:val="7"/>
        </w:numPr>
        <w:adjustRightInd w:val="0"/>
        <w:snapToGrid w:val="0"/>
        <w:spacing w:line="336" w:lineRule="auto"/>
        <w:ind w:left="420" w:hanging="420" w:hangingChars="175"/>
        <w:jc w:val="left"/>
        <w:rPr>
          <w:rFonts w:hint="eastAsia" w:ascii="微软雅黑" w:hAnsi="微软雅黑" w:eastAsia="微软雅黑" w:cs="微软雅黑"/>
          <w:b/>
          <w:sz w:val="24"/>
        </w:rPr>
      </w:pPr>
      <w:r>
        <w:rPr>
          <w:rFonts w:hint="eastAsia" w:ascii="微软雅黑" w:hAnsi="微软雅黑" w:eastAsia="微软雅黑" w:cs="微软雅黑"/>
          <w:b/>
          <w:sz w:val="24"/>
        </w:rPr>
        <w:t>保密</w:t>
      </w:r>
    </w:p>
    <w:p w14:paraId="616C8B82">
      <w:pPr>
        <w:adjustRightInd w:val="0"/>
        <w:snapToGrid w:val="0"/>
        <w:spacing w:line="336" w:lineRule="auto"/>
        <w:rPr>
          <w:rFonts w:hint="eastAsia" w:ascii="微软雅黑" w:hAnsi="微软雅黑" w:eastAsia="微软雅黑" w:cs="微软雅黑"/>
        </w:rPr>
      </w:pPr>
      <w:r>
        <w:rPr>
          <w:rFonts w:hint="eastAsia" w:ascii="微软雅黑" w:hAnsi="微软雅黑" w:eastAsia="微软雅黑" w:cs="微软雅黑"/>
        </w:rPr>
        <w:tab/>
      </w:r>
      <w:r>
        <w:rPr>
          <w:rFonts w:hint="eastAsia" w:ascii="微软雅黑" w:hAnsi="微软雅黑" w:eastAsia="微软雅黑" w:cs="微软雅黑"/>
        </w:rPr>
        <w:t>对于本协议内容及甲方提供给乙方的全部文件、资料、商业信息等，乙方应严格保密，不得复制、泄露或转让给第三人，也不得在本协议范围外使用，否则乙方应承担全部赔偿责任。本协议不论因何种原因变更、解除或终止均不影响本条款的效力。</w:t>
      </w:r>
    </w:p>
    <w:p w14:paraId="1C30D5B7">
      <w:pPr>
        <w:numPr>
          <w:ilvl w:val="0"/>
          <w:numId w:val="7"/>
        </w:numPr>
        <w:adjustRightInd w:val="0"/>
        <w:snapToGrid w:val="0"/>
        <w:spacing w:line="336" w:lineRule="auto"/>
        <w:ind w:left="420" w:hanging="420" w:hangingChars="175"/>
        <w:jc w:val="left"/>
        <w:rPr>
          <w:rFonts w:hint="eastAsia" w:ascii="微软雅黑" w:hAnsi="微软雅黑" w:eastAsia="微软雅黑" w:cs="微软雅黑"/>
          <w:b/>
          <w:sz w:val="24"/>
        </w:rPr>
      </w:pPr>
      <w:r>
        <w:rPr>
          <w:rFonts w:hint="eastAsia" w:ascii="微软雅黑" w:hAnsi="微软雅黑" w:eastAsia="微软雅黑" w:cs="微软雅黑"/>
          <w:b/>
          <w:sz w:val="24"/>
        </w:rPr>
        <w:t>协议声明</w:t>
      </w:r>
    </w:p>
    <w:p w14:paraId="18839F01">
      <w:pPr>
        <w:numPr>
          <w:ilvl w:val="0"/>
          <w:numId w:val="15"/>
        </w:numPr>
        <w:adjustRightInd w:val="0"/>
        <w:snapToGrid w:val="0"/>
        <w:spacing w:line="336" w:lineRule="auto"/>
        <w:ind w:left="625" w:hanging="205"/>
        <w:rPr>
          <w:rFonts w:hint="eastAsia" w:ascii="微软雅黑" w:hAnsi="微软雅黑" w:eastAsia="微软雅黑" w:cs="微软雅黑"/>
        </w:rPr>
      </w:pPr>
      <w:r>
        <w:rPr>
          <w:rFonts w:hint="eastAsia" w:ascii="微软雅黑" w:hAnsi="微软雅黑" w:eastAsia="微软雅黑" w:cs="微软雅黑"/>
        </w:rPr>
        <w:t>本协议自双方法定代表人或授权代表签字并盖章之日起生效。本协议规定的甲乙双方的权利义务全部履行完毕后，本协议自然终止。</w:t>
      </w:r>
    </w:p>
    <w:p w14:paraId="0C77B4D2">
      <w:pPr>
        <w:numPr>
          <w:ilvl w:val="0"/>
          <w:numId w:val="15"/>
        </w:numPr>
        <w:adjustRightInd w:val="0"/>
        <w:snapToGrid w:val="0"/>
        <w:spacing w:line="336" w:lineRule="auto"/>
        <w:ind w:left="625" w:hanging="205"/>
        <w:rPr>
          <w:rFonts w:hint="eastAsia" w:ascii="微软雅黑" w:hAnsi="微软雅黑" w:eastAsia="微软雅黑" w:cs="微软雅黑"/>
        </w:rPr>
      </w:pPr>
      <w:r>
        <w:rPr>
          <w:rFonts w:hint="eastAsia" w:ascii="微软雅黑" w:hAnsi="微软雅黑" w:eastAsia="微软雅黑" w:cs="微软雅黑"/>
        </w:rPr>
        <w:t>本协议一式叁份，甲方执贰份，乙方执壹份，具有同等法律效力。</w:t>
      </w:r>
    </w:p>
    <w:p w14:paraId="67608C64">
      <w:pPr>
        <w:numPr>
          <w:ilvl w:val="0"/>
          <w:numId w:val="15"/>
        </w:numPr>
        <w:adjustRightInd w:val="0"/>
        <w:snapToGrid w:val="0"/>
        <w:spacing w:line="336" w:lineRule="auto"/>
        <w:ind w:left="625" w:hanging="205"/>
        <w:rPr>
          <w:rFonts w:hint="eastAsia" w:ascii="微软雅黑" w:hAnsi="微软雅黑" w:eastAsia="微软雅黑" w:cs="微软雅黑"/>
        </w:rPr>
      </w:pPr>
      <w:r>
        <w:rPr>
          <w:rFonts w:hint="eastAsia" w:ascii="微软雅黑" w:hAnsi="微软雅黑" w:eastAsia="微软雅黑" w:cs="微软雅黑"/>
        </w:rPr>
        <w:t>依据本协议所指定的协议附件、补充协议及相关修订书与本协议构成一个统一的整体，与本协议具有相同的法律效力。</w:t>
      </w:r>
    </w:p>
    <w:p w14:paraId="7DF6C9B1">
      <w:pPr>
        <w:numPr>
          <w:ilvl w:val="0"/>
          <w:numId w:val="15"/>
        </w:numPr>
        <w:adjustRightInd w:val="0"/>
        <w:snapToGrid w:val="0"/>
        <w:spacing w:line="336" w:lineRule="auto"/>
        <w:ind w:left="625" w:hanging="205"/>
        <w:rPr>
          <w:rFonts w:hint="eastAsia" w:ascii="微软雅黑" w:hAnsi="微软雅黑" w:eastAsia="微软雅黑" w:cs="微软雅黑"/>
        </w:rPr>
      </w:pPr>
      <w:r>
        <w:rPr>
          <w:rFonts w:hint="eastAsia" w:ascii="微软雅黑" w:hAnsi="微软雅黑" w:eastAsia="微软雅黑" w:cs="微软雅黑"/>
        </w:rPr>
        <w:t>本协议及其附件中未尽之事宜，可遵照中华人民共和国有关法律、法规和政策执行。</w:t>
      </w:r>
    </w:p>
    <w:p w14:paraId="7FA484AE">
      <w:pPr>
        <w:adjustRightInd w:val="0"/>
        <w:snapToGrid w:val="0"/>
        <w:spacing w:line="336" w:lineRule="auto"/>
        <w:ind w:firstLine="400" w:firstLineChars="200"/>
        <w:rPr>
          <w:rFonts w:hint="eastAsia" w:ascii="微软雅黑" w:hAnsi="微软雅黑" w:eastAsia="微软雅黑" w:cs="微软雅黑"/>
          <w:b/>
          <w:szCs w:val="21"/>
        </w:rPr>
      </w:pPr>
      <w:r>
        <w:rPr>
          <w:rFonts w:hint="eastAsia" w:ascii="微软雅黑" w:hAnsi="微软雅黑" w:eastAsia="微软雅黑" w:cs="微软雅黑"/>
          <w:b/>
          <w:szCs w:val="21"/>
        </w:rPr>
        <w:t>（以下无正文）</w:t>
      </w:r>
    </w:p>
    <w:p w14:paraId="6583114D">
      <w:pPr>
        <w:adjustRightInd w:val="0"/>
        <w:snapToGrid w:val="0"/>
        <w:spacing w:line="336" w:lineRule="auto"/>
        <w:ind w:firstLine="400" w:firstLineChars="200"/>
        <w:rPr>
          <w:rFonts w:hint="eastAsia" w:ascii="微软雅黑" w:hAnsi="微软雅黑" w:eastAsia="微软雅黑" w:cs="微软雅黑"/>
          <w:b/>
          <w:szCs w:val="21"/>
        </w:rPr>
      </w:pPr>
    </w:p>
    <w:p w14:paraId="703BAE2E">
      <w:pPr>
        <w:spacing w:line="336" w:lineRule="auto"/>
        <w:rPr>
          <w:rFonts w:hint="eastAsia" w:ascii="微软雅黑" w:hAnsi="微软雅黑" w:eastAsia="微软雅黑" w:cs="微软雅黑"/>
          <w:b/>
          <w:szCs w:val="21"/>
        </w:rPr>
      </w:pPr>
      <w:r>
        <w:rPr>
          <w:rFonts w:hint="eastAsia" w:ascii="微软雅黑" w:hAnsi="微软雅黑" w:eastAsia="微软雅黑" w:cs="微软雅黑"/>
          <w:b/>
          <w:szCs w:val="21"/>
        </w:rPr>
        <w:t xml:space="preserve">甲方（盖章）：四川省健康促进基金会  </w:t>
      </w:r>
      <w:r>
        <w:rPr>
          <w:rFonts w:hint="eastAsia" w:ascii="微软雅黑" w:hAnsi="微软雅黑" w:eastAsia="微软雅黑" w:cs="微软雅黑"/>
          <w:b/>
          <w:sz w:val="24"/>
        </w:rPr>
        <w:t xml:space="preserve">  </w:t>
      </w:r>
      <w:r>
        <w:rPr>
          <w:rFonts w:hint="eastAsia" w:ascii="微软雅黑" w:hAnsi="微软雅黑" w:eastAsia="微软雅黑" w:cs="微软雅黑"/>
          <w:b/>
          <w:szCs w:val="21"/>
        </w:rPr>
        <w:t xml:space="preserve">  </w:t>
      </w:r>
      <w:r>
        <w:rPr>
          <w:rFonts w:hint="eastAsia" w:ascii="微软雅黑" w:hAnsi="微软雅黑" w:eastAsia="微软雅黑" w:cs="微软雅黑"/>
          <w:b/>
          <w:szCs w:val="21"/>
          <w:lang w:val="en-US" w:eastAsia="zh-CN"/>
        </w:rPr>
        <w:t xml:space="preserve">    </w:t>
      </w:r>
      <w:r>
        <w:rPr>
          <w:rFonts w:hint="eastAsia" w:ascii="微软雅黑" w:hAnsi="微软雅黑" w:eastAsia="微软雅黑" w:cs="微软雅黑"/>
          <w:b/>
          <w:szCs w:val="21"/>
        </w:rPr>
        <w:t xml:space="preserve"> 乙方（盖章） ：  </w:t>
      </w:r>
    </w:p>
    <w:p w14:paraId="3C961A8A">
      <w:pPr>
        <w:spacing w:line="312" w:lineRule="auto"/>
        <w:rPr>
          <w:rFonts w:hint="eastAsia" w:ascii="微软雅黑" w:hAnsi="微软雅黑" w:eastAsia="微软雅黑" w:cs="微软雅黑"/>
          <w:b/>
          <w:szCs w:val="21"/>
        </w:rPr>
      </w:pPr>
      <w:r>
        <w:rPr>
          <w:rFonts w:hint="eastAsia" w:ascii="微软雅黑" w:hAnsi="微软雅黑" w:eastAsia="微软雅黑" w:cs="微软雅黑"/>
          <w:b/>
          <w:szCs w:val="21"/>
        </w:rPr>
        <w:t>授权代表签名：                               授权代表签名：</w:t>
      </w:r>
    </w:p>
    <w:p w14:paraId="6584F579">
      <w:pPr>
        <w:spacing w:line="312" w:lineRule="auto"/>
        <w:rPr>
          <w:rFonts w:hint="eastAsia" w:ascii="微软雅黑" w:hAnsi="微软雅黑" w:eastAsia="微软雅黑" w:cs="微软雅黑"/>
          <w:b/>
          <w:szCs w:val="21"/>
        </w:rPr>
      </w:pPr>
      <w:r>
        <w:rPr>
          <w:rFonts w:hint="eastAsia" w:ascii="微软雅黑" w:hAnsi="微软雅黑" w:eastAsia="微软雅黑" w:cs="微软雅黑"/>
          <w:b/>
          <w:szCs w:val="21"/>
        </w:rPr>
        <w:t>签订日期：</w:t>
      </w:r>
      <w:r>
        <w:rPr>
          <w:rFonts w:hint="eastAsia" w:ascii="微软雅黑" w:hAnsi="微软雅黑" w:eastAsia="微软雅黑" w:cs="微软雅黑"/>
          <w:b/>
          <w:szCs w:val="21"/>
          <w:lang w:val="en-US" w:eastAsia="zh-CN"/>
        </w:rPr>
        <w:t xml:space="preserve">    </w:t>
      </w:r>
      <w:r>
        <w:rPr>
          <w:rFonts w:hint="eastAsia" w:ascii="微软雅黑" w:hAnsi="微软雅黑" w:eastAsia="微软雅黑" w:cs="微软雅黑"/>
          <w:b/>
          <w:szCs w:val="21"/>
        </w:rPr>
        <w:t>年   月    日                 签订日期：</w:t>
      </w:r>
      <w:r>
        <w:rPr>
          <w:rFonts w:hint="eastAsia" w:ascii="微软雅黑" w:hAnsi="微软雅黑" w:eastAsia="微软雅黑" w:cs="微软雅黑"/>
          <w:b/>
          <w:szCs w:val="21"/>
          <w:lang w:val="en-US" w:eastAsia="zh-CN"/>
        </w:rPr>
        <w:t xml:space="preserve">    </w:t>
      </w:r>
      <w:r>
        <w:rPr>
          <w:rFonts w:hint="eastAsia" w:ascii="微软雅黑" w:hAnsi="微软雅黑" w:eastAsia="微软雅黑" w:cs="微软雅黑"/>
          <w:b/>
          <w:szCs w:val="21"/>
        </w:rPr>
        <w:t>年    月     日</w:t>
      </w:r>
    </w:p>
    <w:p w14:paraId="3F3C782E">
      <w:pPr>
        <w:keepNext w:val="0"/>
        <w:keepLines w:val="0"/>
        <w:pageBreakBefore w:val="0"/>
        <w:kinsoku/>
        <w:wordWrap/>
        <w:overflowPunct/>
        <w:topLinePunct w:val="0"/>
        <w:autoSpaceDE/>
        <w:autoSpaceDN/>
        <w:bidi w:val="0"/>
        <w:spacing w:line="312" w:lineRule="auto"/>
        <w:textAlignment w:val="auto"/>
        <w:rPr>
          <w:rFonts w:ascii="微软雅黑" w:hAnsi="微软雅黑" w:eastAsia="微软雅黑"/>
          <w:b/>
          <w:color w:val="auto"/>
          <w:szCs w:val="21"/>
          <w:highlight w:val="none"/>
        </w:rPr>
      </w:pPr>
    </w:p>
    <w:p w14:paraId="0DF7B6CC">
      <w:pPr>
        <w:keepNext w:val="0"/>
        <w:keepLines w:val="0"/>
        <w:pageBreakBefore w:val="0"/>
        <w:kinsoku/>
        <w:wordWrap/>
        <w:overflowPunct/>
        <w:topLinePunct w:val="0"/>
        <w:autoSpaceDE/>
        <w:autoSpaceDN/>
        <w:bidi w:val="0"/>
        <w:spacing w:line="360" w:lineRule="auto"/>
        <w:textAlignment w:val="auto"/>
        <w:rPr>
          <w:rFonts w:ascii="微软雅黑" w:hAnsi="微软雅黑" w:eastAsia="微软雅黑"/>
          <w:b/>
          <w:color w:val="auto"/>
          <w:szCs w:val="21"/>
          <w:highlight w:val="none"/>
        </w:rPr>
      </w:pPr>
    </w:p>
    <w:p w14:paraId="0040C232">
      <w:pPr>
        <w:keepNext w:val="0"/>
        <w:keepLines w:val="0"/>
        <w:pageBreakBefore w:val="0"/>
        <w:kinsoku/>
        <w:wordWrap/>
        <w:overflowPunct/>
        <w:topLinePunct w:val="0"/>
        <w:autoSpaceDE/>
        <w:autoSpaceDN/>
        <w:bidi w:val="0"/>
        <w:spacing w:line="360" w:lineRule="auto"/>
        <w:textAlignment w:val="auto"/>
        <w:rPr>
          <w:rFonts w:hint="eastAsia" w:ascii="微软雅黑" w:hAnsi="微软雅黑" w:eastAsia="微软雅黑"/>
          <w:b/>
          <w:color w:val="auto"/>
          <w:szCs w:val="21"/>
          <w:highlight w:val="none"/>
          <w:lang w:val="en-US" w:eastAsia="zh-CN"/>
        </w:rPr>
      </w:pPr>
      <w:r>
        <w:rPr>
          <w:rFonts w:hint="eastAsia" w:ascii="微软雅黑" w:hAnsi="微软雅黑" w:eastAsia="微软雅黑"/>
          <w:b/>
          <w:color w:val="auto"/>
          <w:szCs w:val="21"/>
          <w:highlight w:val="none"/>
          <w:lang w:val="en-US" w:eastAsia="zh-CN"/>
        </w:rPr>
        <w:t>附件：</w:t>
      </w:r>
    </w:p>
    <w:p w14:paraId="12EF975B">
      <w:pPr>
        <w:keepNext w:val="0"/>
        <w:keepLines w:val="0"/>
        <w:pageBreakBefore w:val="0"/>
        <w:kinsoku/>
        <w:wordWrap/>
        <w:overflowPunct/>
        <w:topLinePunct w:val="0"/>
        <w:autoSpaceDE/>
        <w:autoSpaceDN/>
        <w:bidi w:val="0"/>
        <w:spacing w:line="360" w:lineRule="auto"/>
        <w:textAlignment w:val="auto"/>
        <w:rPr>
          <w:rFonts w:hint="default" w:ascii="微软雅黑" w:hAnsi="微软雅黑" w:eastAsia="微软雅黑"/>
          <w:b/>
          <w:color w:val="auto"/>
          <w:szCs w:val="21"/>
          <w:highlight w:val="none"/>
          <w:lang w:val="en-US" w:eastAsia="zh-CN"/>
        </w:rPr>
      </w:pPr>
      <w:r>
        <w:rPr>
          <w:rFonts w:hint="eastAsia" w:ascii="微软雅黑" w:hAnsi="微软雅黑" w:eastAsia="微软雅黑"/>
          <w:b/>
          <w:color w:val="auto"/>
          <w:szCs w:val="21"/>
          <w:highlight w:val="none"/>
          <w:lang w:val="en-US" w:eastAsia="zh-CN"/>
        </w:rPr>
        <w:t>报价表</w:t>
      </w:r>
    </w:p>
    <w:p w14:paraId="76307C07">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rPr>
      </w:pPr>
    </w:p>
    <w:p w14:paraId="1DE6BFF7">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rPr>
      </w:pPr>
    </w:p>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FF407D4-7059-410B-9056-1DFA464CD8F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0082146D-E5C1-4717-BC29-0C38EABD5BCA}"/>
  </w:font>
  <w:font w:name="Calibri Light">
    <w:panose1 w:val="020F0302020204030204"/>
    <w:charset w:val="00"/>
    <w:family w:val="auto"/>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embedRegular r:id="rId3" w:fontKey="{ED97D081-E825-48EB-963B-CB26B2F0D50B}"/>
  </w:font>
  <w:font w:name="微软雅黑">
    <w:panose1 w:val="020B0503020204020204"/>
    <w:charset w:val="86"/>
    <w:family w:val="auto"/>
    <w:pitch w:val="default"/>
    <w:sig w:usb0="80000287" w:usb1="2ACF3C50" w:usb2="00000016" w:usb3="00000000" w:csb0="0004001F" w:csb1="00000000"/>
    <w:embedRegular r:id="rId4" w:fontKey="{B3E1AC79-D837-4C7D-95B1-1F286B8D8DFD}"/>
  </w:font>
  <w:font w:name="仿宋_GB2312">
    <w:panose1 w:val="02010609030101010101"/>
    <w:charset w:val="86"/>
    <w:family w:val="auto"/>
    <w:pitch w:val="default"/>
    <w:sig w:usb0="00000001" w:usb1="080E0000" w:usb2="00000000" w:usb3="00000000" w:csb0="00040000" w:csb1="00000000"/>
    <w:embedRegular r:id="rId5" w:fontKey="{DD19A837-3D43-4B78-812A-F524826A1588}"/>
  </w:font>
  <w:font w:name="方正小标宋_GBK">
    <w:panose1 w:val="02000000000000000000"/>
    <w:charset w:val="86"/>
    <w:family w:val="script"/>
    <w:pitch w:val="default"/>
    <w:sig w:usb0="A00002BF" w:usb1="38CF7CFA" w:usb2="00082016" w:usb3="00000000" w:csb0="00040001" w:csb1="00000000"/>
    <w:embedRegular r:id="rId6" w:fontKey="{33C60E9B-E2A1-4DCF-A187-E8BFCDB46A24}"/>
  </w:font>
  <w:font w:name="方正仿宋_GBK">
    <w:panose1 w:val="02000000000000000000"/>
    <w:charset w:val="86"/>
    <w:family w:val="auto"/>
    <w:pitch w:val="default"/>
    <w:sig w:usb0="A00002BF" w:usb1="38CF7CFA" w:usb2="00082016" w:usb3="00000000" w:csb0="00040001" w:csb1="00000000"/>
    <w:embedRegular r:id="rId7" w:fontKey="{B3109B15-7A8E-4B79-88EC-0FF95833C317}"/>
  </w:font>
  <w:font w:name="楷体_GB2312">
    <w:panose1 w:val="02010609030101010101"/>
    <w:charset w:val="86"/>
    <w:family w:val="auto"/>
    <w:pitch w:val="default"/>
    <w:sig w:usb0="00000001" w:usb1="080E0000" w:usb2="00000000" w:usb3="00000000" w:csb0="00040000" w:csb1="00000000"/>
    <w:embedRegular r:id="rId8" w:fontKey="{C9F0FC9C-A62C-4248-BEDF-0246690217BA}"/>
  </w:font>
  <w:font w:name="华文仿宋">
    <w:panose1 w:val="02010600040101010101"/>
    <w:charset w:val="86"/>
    <w:family w:val="auto"/>
    <w:pitch w:val="default"/>
    <w:sig w:usb0="00000287" w:usb1="080F0000" w:usb2="00000000" w:usb3="00000000" w:csb0="0004009F" w:csb1="DFD70000"/>
    <w:embedRegular r:id="rId9" w:fontKey="{6C0CAC16-E461-4697-819D-52568D70351E}"/>
  </w:font>
  <w:font w:name="方正仿宋_GB2312">
    <w:panose1 w:val="02000000000000000000"/>
    <w:charset w:val="86"/>
    <w:family w:val="auto"/>
    <w:pitch w:val="default"/>
    <w:sig w:usb0="A00002BF" w:usb1="184F6CFA" w:usb2="00000012" w:usb3="00000000" w:csb0="00040001" w:csb1="00000000"/>
    <w:embedRegular r:id="rId10" w:fontKey="{E3CCED95-5F4E-4964-9302-680FCF53A549}"/>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CE90E">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9D8500">
                          <w:pPr>
                            <w:pStyle w:val="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49D8500">
                    <w:pPr>
                      <w:pStyle w:val="9"/>
                    </w:pPr>
                    <w:r>
                      <w:fldChar w:fldCharType="begin"/>
                    </w:r>
                    <w:r>
                      <w:instrText xml:space="preserve"> PAGE  \* MERGEFORMAT </w:instrText>
                    </w:r>
                    <w:r>
                      <w:fldChar w:fldCharType="separate"/>
                    </w:r>
                    <w:r>
                      <w:t>2</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6AF834">
                          <w:pPr>
                            <w:pStyle w:val="9"/>
                            <w:rPr>
                              <w:rFonts w:hint="eastAsia" w:eastAsia="宋体"/>
                              <w:sz w:val="28"/>
                              <w:szCs w:val="28"/>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86AF834">
                    <w:pPr>
                      <w:pStyle w:val="9"/>
                      <w:rPr>
                        <w:rFonts w:hint="eastAsia" w:eastAsia="宋体"/>
                        <w:sz w:val="28"/>
                        <w:szCs w:val="28"/>
                        <w:lang w:val="en-US" w:eastAsia="zh-CN"/>
                      </w:rPr>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16F5A5"/>
    <w:multiLevelType w:val="singleLevel"/>
    <w:tmpl w:val="8016F5A5"/>
    <w:lvl w:ilvl="0" w:tentative="0">
      <w:start w:val="1"/>
      <w:numFmt w:val="decimal"/>
      <w:lvlText w:val="%1."/>
      <w:lvlJc w:val="left"/>
      <w:pPr>
        <w:ind w:left="425" w:hanging="425"/>
      </w:pPr>
      <w:rPr>
        <w:rFonts w:hint="default"/>
      </w:rPr>
    </w:lvl>
  </w:abstractNum>
  <w:abstractNum w:abstractNumId="1">
    <w:nsid w:val="86EDEE51"/>
    <w:multiLevelType w:val="singleLevel"/>
    <w:tmpl w:val="86EDEE51"/>
    <w:lvl w:ilvl="0" w:tentative="0">
      <w:start w:val="1"/>
      <w:numFmt w:val="decimal"/>
      <w:lvlText w:val="%1."/>
      <w:lvlJc w:val="left"/>
      <w:pPr>
        <w:ind w:left="425" w:hanging="425"/>
      </w:pPr>
      <w:rPr>
        <w:rFonts w:hint="default"/>
      </w:rPr>
    </w:lvl>
  </w:abstractNum>
  <w:abstractNum w:abstractNumId="2">
    <w:nsid w:val="8CC28817"/>
    <w:multiLevelType w:val="singleLevel"/>
    <w:tmpl w:val="8CC28817"/>
    <w:lvl w:ilvl="0" w:tentative="0">
      <w:start w:val="1"/>
      <w:numFmt w:val="chineseCounting"/>
      <w:suff w:val="nothing"/>
      <w:lvlText w:val="%1、"/>
      <w:lvlJc w:val="left"/>
      <w:rPr>
        <w:rFonts w:hint="eastAsia"/>
      </w:rPr>
    </w:lvl>
  </w:abstractNum>
  <w:abstractNum w:abstractNumId="3">
    <w:nsid w:val="93651EDE"/>
    <w:multiLevelType w:val="singleLevel"/>
    <w:tmpl w:val="93651EDE"/>
    <w:lvl w:ilvl="0" w:tentative="0">
      <w:start w:val="1"/>
      <w:numFmt w:val="decimal"/>
      <w:lvlText w:val="%1."/>
      <w:lvlJc w:val="left"/>
      <w:pPr>
        <w:ind w:left="425" w:hanging="425"/>
      </w:pPr>
      <w:rPr>
        <w:rFonts w:hint="default"/>
      </w:rPr>
    </w:lvl>
  </w:abstractNum>
  <w:abstractNum w:abstractNumId="4">
    <w:nsid w:val="A62C3705"/>
    <w:multiLevelType w:val="singleLevel"/>
    <w:tmpl w:val="A62C3705"/>
    <w:lvl w:ilvl="0" w:tentative="0">
      <w:start w:val="1"/>
      <w:numFmt w:val="chineseCounting"/>
      <w:suff w:val="nothing"/>
      <w:lvlText w:val="（%1）"/>
      <w:lvlJc w:val="left"/>
      <w:rPr>
        <w:rFonts w:hint="eastAsia"/>
      </w:rPr>
    </w:lvl>
  </w:abstractNum>
  <w:abstractNum w:abstractNumId="5">
    <w:nsid w:val="A6F6E503"/>
    <w:multiLevelType w:val="singleLevel"/>
    <w:tmpl w:val="A6F6E503"/>
    <w:lvl w:ilvl="0" w:tentative="0">
      <w:start w:val="1"/>
      <w:numFmt w:val="decimal"/>
      <w:lvlText w:val="%1."/>
      <w:lvlJc w:val="left"/>
      <w:pPr>
        <w:ind w:left="425" w:hanging="425"/>
      </w:pPr>
      <w:rPr>
        <w:rFonts w:hint="default"/>
      </w:rPr>
    </w:lvl>
  </w:abstractNum>
  <w:abstractNum w:abstractNumId="6">
    <w:nsid w:val="ABD1EC3B"/>
    <w:multiLevelType w:val="singleLevel"/>
    <w:tmpl w:val="ABD1EC3B"/>
    <w:lvl w:ilvl="0" w:tentative="0">
      <w:start w:val="1"/>
      <w:numFmt w:val="decimal"/>
      <w:lvlText w:val="%1."/>
      <w:lvlJc w:val="left"/>
      <w:pPr>
        <w:ind w:left="425" w:hanging="425"/>
      </w:pPr>
      <w:rPr>
        <w:rFonts w:hint="default"/>
      </w:rPr>
    </w:lvl>
  </w:abstractNum>
  <w:abstractNum w:abstractNumId="7">
    <w:nsid w:val="FBFFC4D8"/>
    <w:multiLevelType w:val="singleLevel"/>
    <w:tmpl w:val="FBFFC4D8"/>
    <w:lvl w:ilvl="0" w:tentative="0">
      <w:start w:val="1"/>
      <w:numFmt w:val="decimal"/>
      <w:lvlText w:val="%1."/>
      <w:lvlJc w:val="left"/>
      <w:pPr>
        <w:tabs>
          <w:tab w:val="left" w:pos="312"/>
        </w:tabs>
      </w:pPr>
    </w:lvl>
  </w:abstractNum>
  <w:abstractNum w:abstractNumId="8">
    <w:nsid w:val="00000015"/>
    <w:multiLevelType w:val="multilevel"/>
    <w:tmpl w:val="00000015"/>
    <w:lvl w:ilvl="0" w:tentative="0">
      <w:start w:val="1"/>
      <w:numFmt w:val="decimal"/>
      <w:pStyle w:val="2"/>
      <w:lvlText w:val="第%1章"/>
      <w:lvlJc w:val="left"/>
      <w:pPr>
        <w:tabs>
          <w:tab w:val="left" w:pos="4565"/>
        </w:tabs>
        <w:ind w:left="4565" w:hanging="425"/>
      </w:pPr>
      <w:rPr>
        <w:rFonts w:hint="default" w:ascii="Times New Roman" w:hAnsi="Times New Roman" w:eastAsia="宋体"/>
        <w:b/>
        <w:i w:val="0"/>
        <w:sz w:val="36"/>
      </w:rPr>
    </w:lvl>
    <w:lvl w:ilvl="1" w:tentative="0">
      <w:start w:val="1"/>
      <w:numFmt w:val="decimal"/>
      <w:lvlText w:val="%1.%2."/>
      <w:lvlJc w:val="left"/>
      <w:pPr>
        <w:tabs>
          <w:tab w:val="left" w:pos="8788"/>
        </w:tabs>
        <w:ind w:left="8788" w:hanging="567"/>
      </w:pPr>
      <w:rPr>
        <w:rFonts w:hint="default" w:hAnsi="Times New Roman"/>
        <w:b/>
        <w:i w:val="0"/>
        <w:sz w:val="32"/>
      </w:rPr>
    </w:lvl>
    <w:lvl w:ilvl="2" w:tentative="0">
      <w:start w:val="1"/>
      <w:numFmt w:val="decimal"/>
      <w:lvlText w:val="%1.%2.%3."/>
      <w:lvlJc w:val="left"/>
      <w:pPr>
        <w:tabs>
          <w:tab w:val="left" w:pos="709"/>
        </w:tabs>
        <w:ind w:left="709" w:hanging="709"/>
      </w:pPr>
      <w:rPr>
        <w:rFonts w:hint="default" w:hAnsi="宋体"/>
        <w:b/>
        <w:i w:val="0"/>
        <w:sz w:val="24"/>
        <w:szCs w:val="24"/>
      </w:rPr>
    </w:lvl>
    <w:lvl w:ilvl="3" w:tentative="0">
      <w:start w:val="1"/>
      <w:numFmt w:val="decimal"/>
      <w:lvlText w:val="%1.%2.%3.%4."/>
      <w:lvlJc w:val="left"/>
      <w:pPr>
        <w:tabs>
          <w:tab w:val="left" w:pos="1949"/>
        </w:tabs>
        <w:ind w:left="1949" w:hanging="851"/>
      </w:pPr>
      <w:rPr>
        <w:rFonts w:hint="default" w:ascii="Times New Roman" w:hAnsi="Times New Roman" w:eastAsia="宋体"/>
        <w:b/>
        <w:i w:val="0"/>
        <w:sz w:val="24"/>
        <w:szCs w:val="24"/>
      </w:rPr>
    </w:lvl>
    <w:lvl w:ilvl="4" w:tentative="0">
      <w:start w:val="1"/>
      <w:numFmt w:val="decimal"/>
      <w:lvlText w:val="%1.%2.%3.%4.%5."/>
      <w:lvlJc w:val="left"/>
      <w:pPr>
        <w:tabs>
          <w:tab w:val="left" w:pos="1730"/>
        </w:tabs>
        <w:ind w:left="1730" w:hanging="992"/>
      </w:pPr>
      <w:rPr>
        <w:rFonts w:hint="default" w:ascii="Times New Roman" w:hAnsi="Times New Roman" w:eastAsia="宋体"/>
        <w:b/>
        <w:i w:val="0"/>
        <w:sz w:val="28"/>
      </w:rPr>
    </w:lvl>
    <w:lvl w:ilvl="5" w:tentative="0">
      <w:start w:val="1"/>
      <w:numFmt w:val="decimal"/>
      <w:lvlText w:val="%1.%2.%3.%4.%5.%6."/>
      <w:lvlJc w:val="left"/>
      <w:pPr>
        <w:tabs>
          <w:tab w:val="left" w:pos="1872"/>
        </w:tabs>
        <w:ind w:left="1872" w:hanging="1134"/>
      </w:pPr>
      <w:rPr>
        <w:rFonts w:hint="default"/>
        <w:b/>
        <w:i w:val="0"/>
        <w:sz w:val="28"/>
      </w:rPr>
    </w:lvl>
    <w:lvl w:ilvl="6" w:tentative="0">
      <w:start w:val="1"/>
      <w:numFmt w:val="decimal"/>
      <w:lvlText w:val="%1.%2.%3.%4.%5.%6.%7."/>
      <w:lvlJc w:val="left"/>
      <w:pPr>
        <w:tabs>
          <w:tab w:val="left" w:pos="2014"/>
        </w:tabs>
        <w:ind w:left="2014" w:hanging="1276"/>
      </w:pPr>
      <w:rPr>
        <w:rFonts w:hint="eastAsia"/>
      </w:rPr>
    </w:lvl>
    <w:lvl w:ilvl="7" w:tentative="0">
      <w:start w:val="1"/>
      <w:numFmt w:val="decimal"/>
      <w:lvlText w:val="%1.%2.%3.%4.%5.%6.%7.%8."/>
      <w:lvlJc w:val="left"/>
      <w:pPr>
        <w:tabs>
          <w:tab w:val="left" w:pos="2156"/>
        </w:tabs>
        <w:ind w:left="2156" w:hanging="1418"/>
      </w:pPr>
      <w:rPr>
        <w:rFonts w:hint="eastAsia"/>
      </w:rPr>
    </w:lvl>
    <w:lvl w:ilvl="8" w:tentative="0">
      <w:start w:val="1"/>
      <w:numFmt w:val="decimal"/>
      <w:lvlText w:val="%1.%2.%3.%4.%5.%6.%7.%8.%9."/>
      <w:lvlJc w:val="left"/>
      <w:pPr>
        <w:tabs>
          <w:tab w:val="left" w:pos="2297"/>
        </w:tabs>
        <w:ind w:left="2297" w:hanging="1559"/>
      </w:pPr>
      <w:rPr>
        <w:rFonts w:hint="eastAsia"/>
      </w:rPr>
    </w:lvl>
  </w:abstractNum>
  <w:abstractNum w:abstractNumId="9">
    <w:nsid w:val="00D08893"/>
    <w:multiLevelType w:val="singleLevel"/>
    <w:tmpl w:val="00D08893"/>
    <w:lvl w:ilvl="0" w:tentative="0">
      <w:start w:val="1"/>
      <w:numFmt w:val="decimal"/>
      <w:lvlText w:val="%1."/>
      <w:lvlJc w:val="left"/>
      <w:pPr>
        <w:ind w:left="425" w:hanging="425"/>
      </w:pPr>
      <w:rPr>
        <w:rFonts w:hint="default"/>
      </w:rPr>
    </w:lvl>
  </w:abstractNum>
  <w:abstractNum w:abstractNumId="10">
    <w:nsid w:val="0455BACF"/>
    <w:multiLevelType w:val="singleLevel"/>
    <w:tmpl w:val="0455BACF"/>
    <w:lvl w:ilvl="0" w:tentative="0">
      <w:start w:val="1"/>
      <w:numFmt w:val="chineseCounting"/>
      <w:suff w:val="nothing"/>
      <w:lvlText w:val="%1、"/>
      <w:lvlJc w:val="left"/>
      <w:pPr>
        <w:ind w:left="0" w:firstLine="420"/>
      </w:pPr>
      <w:rPr>
        <w:rFonts w:hint="eastAsia"/>
      </w:rPr>
    </w:lvl>
  </w:abstractNum>
  <w:abstractNum w:abstractNumId="11">
    <w:nsid w:val="29E16805"/>
    <w:multiLevelType w:val="singleLevel"/>
    <w:tmpl w:val="29E16805"/>
    <w:lvl w:ilvl="0" w:tentative="0">
      <w:start w:val="1"/>
      <w:numFmt w:val="decimal"/>
      <w:lvlText w:val="%1."/>
      <w:lvlJc w:val="left"/>
      <w:pPr>
        <w:ind w:left="425" w:hanging="425"/>
      </w:pPr>
      <w:rPr>
        <w:rFonts w:hint="default"/>
      </w:rPr>
    </w:lvl>
  </w:abstractNum>
  <w:abstractNum w:abstractNumId="12">
    <w:nsid w:val="3224A583"/>
    <w:multiLevelType w:val="singleLevel"/>
    <w:tmpl w:val="3224A583"/>
    <w:lvl w:ilvl="0" w:tentative="0">
      <w:start w:val="2"/>
      <w:numFmt w:val="chineseCounting"/>
      <w:suff w:val="nothing"/>
      <w:lvlText w:val="%1、"/>
      <w:lvlJc w:val="left"/>
      <w:rPr>
        <w:rFonts w:hint="eastAsia"/>
      </w:rPr>
    </w:lvl>
  </w:abstractNum>
  <w:abstractNum w:abstractNumId="13">
    <w:nsid w:val="337EFA39"/>
    <w:multiLevelType w:val="singleLevel"/>
    <w:tmpl w:val="337EFA39"/>
    <w:lvl w:ilvl="0" w:tentative="0">
      <w:start w:val="1"/>
      <w:numFmt w:val="chineseCounting"/>
      <w:suff w:val="nothing"/>
      <w:lvlText w:val="（%1）"/>
      <w:lvlJc w:val="left"/>
      <w:rPr>
        <w:rFonts w:hint="eastAsia"/>
      </w:rPr>
    </w:lvl>
  </w:abstractNum>
  <w:abstractNum w:abstractNumId="14">
    <w:nsid w:val="682A2D8C"/>
    <w:multiLevelType w:val="singleLevel"/>
    <w:tmpl w:val="682A2D8C"/>
    <w:lvl w:ilvl="0" w:tentative="0">
      <w:start w:val="1"/>
      <w:numFmt w:val="decimal"/>
      <w:lvlText w:val="%1."/>
      <w:lvlJc w:val="left"/>
      <w:pPr>
        <w:ind w:left="425" w:hanging="425"/>
      </w:pPr>
      <w:rPr>
        <w:rFonts w:hint="default"/>
      </w:rPr>
    </w:lvl>
  </w:abstractNum>
  <w:num w:numId="1">
    <w:abstractNumId w:val="8"/>
  </w:num>
  <w:num w:numId="2">
    <w:abstractNumId w:val="4"/>
  </w:num>
  <w:num w:numId="3">
    <w:abstractNumId w:val="13"/>
  </w:num>
  <w:num w:numId="4">
    <w:abstractNumId w:val="12"/>
  </w:num>
  <w:num w:numId="5">
    <w:abstractNumId w:val="2"/>
  </w:num>
  <w:num w:numId="6">
    <w:abstractNumId w:val="7"/>
  </w:num>
  <w:num w:numId="7">
    <w:abstractNumId w:val="10"/>
  </w:num>
  <w:num w:numId="8">
    <w:abstractNumId w:val="5"/>
  </w:num>
  <w:num w:numId="9">
    <w:abstractNumId w:val="6"/>
  </w:num>
  <w:num w:numId="10">
    <w:abstractNumId w:val="3"/>
  </w:num>
  <w:num w:numId="11">
    <w:abstractNumId w:val="11"/>
  </w:num>
  <w:num w:numId="12">
    <w:abstractNumId w:val="0"/>
  </w:num>
  <w:num w:numId="13">
    <w:abstractNumId w:val="1"/>
  </w:num>
  <w:num w:numId="14">
    <w:abstractNumId w:val="9"/>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NlM2Y5ZmRlZTFjMzUyNWU3YzFiZGJmZjczMTNjYjAifQ=="/>
  </w:docVars>
  <w:rsids>
    <w:rsidRoot w:val="73147249"/>
    <w:rsid w:val="0107397E"/>
    <w:rsid w:val="018B4F49"/>
    <w:rsid w:val="021031B6"/>
    <w:rsid w:val="056E00BE"/>
    <w:rsid w:val="07DE218C"/>
    <w:rsid w:val="09730E8F"/>
    <w:rsid w:val="0A776BF3"/>
    <w:rsid w:val="0D5972D7"/>
    <w:rsid w:val="0DC15C1C"/>
    <w:rsid w:val="0ECE5049"/>
    <w:rsid w:val="12773D13"/>
    <w:rsid w:val="139E0D62"/>
    <w:rsid w:val="14771BA8"/>
    <w:rsid w:val="176775A2"/>
    <w:rsid w:val="19F03A10"/>
    <w:rsid w:val="1A301F8A"/>
    <w:rsid w:val="207F576E"/>
    <w:rsid w:val="2107699E"/>
    <w:rsid w:val="21611B5D"/>
    <w:rsid w:val="23535604"/>
    <w:rsid w:val="2CC1272A"/>
    <w:rsid w:val="321B1AA4"/>
    <w:rsid w:val="3485623E"/>
    <w:rsid w:val="370740E8"/>
    <w:rsid w:val="37136EFA"/>
    <w:rsid w:val="39551D3F"/>
    <w:rsid w:val="3A48747A"/>
    <w:rsid w:val="3B790975"/>
    <w:rsid w:val="3C4070D1"/>
    <w:rsid w:val="3C953B6E"/>
    <w:rsid w:val="3D0E018E"/>
    <w:rsid w:val="3E6437F3"/>
    <w:rsid w:val="44DB1627"/>
    <w:rsid w:val="450A021D"/>
    <w:rsid w:val="47573C89"/>
    <w:rsid w:val="48E602D5"/>
    <w:rsid w:val="4C060974"/>
    <w:rsid w:val="4CE3682C"/>
    <w:rsid w:val="4D3B5365"/>
    <w:rsid w:val="4E0E4551"/>
    <w:rsid w:val="4E3F60E8"/>
    <w:rsid w:val="535844AE"/>
    <w:rsid w:val="535B3A42"/>
    <w:rsid w:val="537E2D2C"/>
    <w:rsid w:val="54235FE8"/>
    <w:rsid w:val="5590248E"/>
    <w:rsid w:val="56B17C46"/>
    <w:rsid w:val="56DC0365"/>
    <w:rsid w:val="575A3D62"/>
    <w:rsid w:val="577F1A6A"/>
    <w:rsid w:val="59DB2955"/>
    <w:rsid w:val="5A1C1AF8"/>
    <w:rsid w:val="5AD703AE"/>
    <w:rsid w:val="5C89392A"/>
    <w:rsid w:val="5E826883"/>
    <w:rsid w:val="61C02DDD"/>
    <w:rsid w:val="61F4308A"/>
    <w:rsid w:val="63D90DF7"/>
    <w:rsid w:val="646D2037"/>
    <w:rsid w:val="647C7BEB"/>
    <w:rsid w:val="65DA5DEE"/>
    <w:rsid w:val="67695F35"/>
    <w:rsid w:val="67CF392A"/>
    <w:rsid w:val="69F021DB"/>
    <w:rsid w:val="6B131EAE"/>
    <w:rsid w:val="6CA83959"/>
    <w:rsid w:val="6CD04C5E"/>
    <w:rsid w:val="6D8223FC"/>
    <w:rsid w:val="6DC31443"/>
    <w:rsid w:val="700D7DBB"/>
    <w:rsid w:val="723C6D19"/>
    <w:rsid w:val="73147249"/>
    <w:rsid w:val="73D041E1"/>
    <w:rsid w:val="73E13BF4"/>
    <w:rsid w:val="74342C47"/>
    <w:rsid w:val="74521DA0"/>
    <w:rsid w:val="77D24BDC"/>
    <w:rsid w:val="7C403A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lang w:val="en-US" w:eastAsia="zh-CN" w:bidi="ar-SA"/>
    </w:rPr>
  </w:style>
  <w:style w:type="paragraph" w:styleId="2">
    <w:name w:val="heading 1"/>
    <w:basedOn w:val="1"/>
    <w:next w:val="1"/>
    <w:link w:val="17"/>
    <w:qFormat/>
    <w:uiPriority w:val="9"/>
    <w:pPr>
      <w:keepNext/>
      <w:keepLines/>
      <w:numPr>
        <w:ilvl w:val="0"/>
        <w:numId w:val="1"/>
      </w:numPr>
      <w:tabs>
        <w:tab w:val="left" w:pos="3827"/>
      </w:tabs>
      <w:spacing w:before="340" w:after="330" w:line="576" w:lineRule="auto"/>
      <w:jc w:val="left"/>
      <w:outlineLvl w:val="0"/>
    </w:pPr>
    <w:rPr>
      <w:rFonts w:ascii="Times New Roman" w:hAnsi="Times New Roman" w:cs="Times New Roman"/>
      <w:b/>
      <w:kern w:val="44"/>
      <w:sz w:val="36"/>
    </w:rPr>
  </w:style>
  <w:style w:type="paragraph" w:styleId="3">
    <w:name w:val="heading 2"/>
    <w:basedOn w:val="1"/>
    <w:next w:val="1"/>
    <w:qFormat/>
    <w:uiPriority w:val="0"/>
    <w:pPr>
      <w:keepNext/>
      <w:keepLines/>
      <w:spacing w:before="260" w:after="260" w:line="413" w:lineRule="auto"/>
      <w:outlineLvl w:val="1"/>
    </w:pPr>
    <w:rPr>
      <w:rFonts w:ascii="Arial" w:hAnsi="Arial" w:eastAsia="黑体"/>
      <w:b/>
      <w:bCs/>
      <w:sz w:val="32"/>
      <w:szCs w:val="32"/>
    </w:rPr>
  </w:style>
  <w:style w:type="paragraph" w:styleId="4">
    <w:name w:val="heading 3"/>
    <w:basedOn w:val="1"/>
    <w:next w:val="5"/>
    <w:unhideWhenUsed/>
    <w:qFormat/>
    <w:uiPriority w:val="9"/>
    <w:pPr>
      <w:keepNext/>
      <w:keepLines/>
      <w:spacing w:before="200" w:after="0"/>
      <w:outlineLvl w:val="2"/>
    </w:pPr>
    <w:rPr>
      <w:rFonts w:asciiTheme="majorHAnsi" w:hAnsiTheme="majorHAnsi" w:eastAsiaTheme="majorEastAsia" w:cstheme="majorBidi"/>
      <w:b/>
      <w:bCs/>
    </w:rPr>
  </w:style>
  <w:style w:type="paragraph" w:styleId="6">
    <w:name w:val="heading 4"/>
    <w:basedOn w:val="1"/>
    <w:next w:val="5"/>
    <w:unhideWhenUsed/>
    <w:qFormat/>
    <w:uiPriority w:val="9"/>
    <w:pPr>
      <w:keepNext/>
      <w:keepLines/>
      <w:spacing w:before="200" w:after="0"/>
      <w:outlineLvl w:val="3"/>
    </w:pPr>
    <w:rPr>
      <w:rFonts w:asciiTheme="majorHAnsi" w:hAnsiTheme="majorHAnsi" w:eastAsiaTheme="majorEastAsia" w:cstheme="majorBidi"/>
      <w:bCs/>
      <w:i/>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pPr>
      <w:spacing w:before="180" w:after="180"/>
    </w:pPr>
  </w:style>
  <w:style w:type="paragraph" w:styleId="7">
    <w:name w:val="annotation text"/>
    <w:basedOn w:val="1"/>
    <w:qFormat/>
    <w:uiPriority w:val="0"/>
    <w:pPr>
      <w:jc w:val="left"/>
    </w:pPr>
  </w:style>
  <w:style w:type="paragraph" w:styleId="8">
    <w:name w:val="Block Text"/>
    <w:basedOn w:val="5"/>
    <w:next w:val="5"/>
    <w:unhideWhenUsed/>
    <w:qFormat/>
    <w:uiPriority w:val="9"/>
    <w:pPr>
      <w:spacing w:before="100" w:after="100"/>
      <w:ind w:left="480" w:right="480"/>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2">
    <w:name w:val="Title"/>
    <w:basedOn w:val="1"/>
    <w:next w:val="1"/>
    <w:qFormat/>
    <w:uiPriority w:val="10"/>
    <w:pPr>
      <w:spacing w:before="240" w:after="60"/>
      <w:jc w:val="center"/>
      <w:outlineLvl w:val="0"/>
    </w:pPr>
    <w:rPr>
      <w:rFonts w:ascii="Cambria" w:hAnsi="Cambria" w:cs="Times New Roman"/>
      <w:b/>
      <w:bCs/>
      <w:sz w:val="32"/>
      <w:szCs w:val="32"/>
    </w:rPr>
  </w:style>
  <w:style w:type="table" w:styleId="14">
    <w:name w:val="Table Grid"/>
    <w:basedOn w:val="1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character" w:customStyle="1" w:styleId="17">
    <w:name w:val="标题 1 Char"/>
    <w:basedOn w:val="15"/>
    <w:link w:val="2"/>
    <w:autoRedefine/>
    <w:qFormat/>
    <w:uiPriority w:val="9"/>
    <w:rPr>
      <w:rFonts w:ascii="Times New Roman" w:hAnsi="Times New Roman" w:cs="Times New Roman"/>
      <w:b/>
      <w:kern w:val="44"/>
      <w:sz w:val="36"/>
    </w:rPr>
  </w:style>
  <w:style w:type="character" w:customStyle="1" w:styleId="18">
    <w:name w:val="font41"/>
    <w:basedOn w:val="15"/>
    <w:qFormat/>
    <w:uiPriority w:val="0"/>
    <w:rPr>
      <w:rFonts w:hint="eastAsia" w:ascii="微软雅黑" w:hAnsi="微软雅黑" w:eastAsia="微软雅黑" w:cs="微软雅黑"/>
      <w:b/>
      <w:bCs/>
      <w:color w:val="000000"/>
      <w:sz w:val="28"/>
      <w:szCs w:val="28"/>
      <w:u w:val="none"/>
    </w:rPr>
  </w:style>
  <w:style w:type="character" w:customStyle="1" w:styleId="19">
    <w:name w:val="font111"/>
    <w:basedOn w:val="15"/>
    <w:qFormat/>
    <w:uiPriority w:val="0"/>
    <w:rPr>
      <w:rFonts w:hint="eastAsia" w:ascii="微软雅黑" w:hAnsi="微软雅黑" w:eastAsia="微软雅黑" w:cs="微软雅黑"/>
      <w:b/>
      <w:bCs/>
      <w:color w:val="C00000"/>
      <w:sz w:val="28"/>
      <w:szCs w:val="28"/>
      <w:u w:val="none"/>
    </w:rPr>
  </w:style>
  <w:style w:type="character" w:customStyle="1" w:styleId="20">
    <w:name w:val="font112"/>
    <w:basedOn w:val="15"/>
    <w:qFormat/>
    <w:uiPriority w:val="0"/>
    <w:rPr>
      <w:rFonts w:hint="eastAsia" w:ascii="微软雅黑" w:hAnsi="微软雅黑" w:eastAsia="微软雅黑" w:cs="微软雅黑"/>
      <w:b/>
      <w:bCs/>
      <w:color w:val="C00000"/>
      <w:sz w:val="28"/>
      <w:szCs w:val="28"/>
      <w:u w:val="none"/>
    </w:rPr>
  </w:style>
  <w:style w:type="paragraph" w:customStyle="1" w:styleId="21">
    <w:name w:val="First Paragraph"/>
    <w:basedOn w:val="5"/>
    <w:next w:val="5"/>
    <w:qFormat/>
    <w:uiPriority w:val="0"/>
  </w:style>
  <w:style w:type="paragraph" w:customStyle="1" w:styleId="22">
    <w:name w:val="Compact"/>
    <w:basedOn w:val="5"/>
    <w:qFormat/>
    <w:uiPriority w:val="0"/>
    <w:pPr>
      <w:spacing w:before="36" w:after="36"/>
    </w:pPr>
  </w:style>
  <w:style w:type="table" w:customStyle="1" w:styleId="23">
    <w:name w:val="Table"/>
    <w:semiHidden/>
    <w:unhideWhenUse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blStylePr w:type="firstRow">
      <w:tcPr>
        <w:tcBorders>
          <w:bottom w:val="single" w:color="auto" w:sz="0" w:space="0"/>
        </w:tcBorders>
        <w:vAlign w:val="bottom"/>
      </w:tcPr>
    </w:tblStylePr>
  </w:style>
  <w:style w:type="character" w:customStyle="1" w:styleId="24">
    <w:name w:val="font31"/>
    <w:basedOn w:val="15"/>
    <w:qFormat/>
    <w:uiPriority w:val="0"/>
    <w:rPr>
      <w:rFonts w:hint="eastAsia" w:ascii="微软雅黑" w:hAnsi="微软雅黑" w:eastAsia="微软雅黑" w:cs="微软雅黑"/>
      <w:color w:val="000000"/>
      <w:sz w:val="20"/>
      <w:szCs w:val="20"/>
      <w:u w:val="none"/>
    </w:rPr>
  </w:style>
  <w:style w:type="paragraph" w:styleId="25">
    <w:name w:val="List Paragraph"/>
    <w:basedOn w:val="1"/>
    <w:semiHidden/>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61</Words>
  <Characters>61</Characters>
  <Lines>0</Lines>
  <Paragraphs>0</Paragraphs>
  <TotalTime>0</TotalTime>
  <ScaleCrop>false</ScaleCrop>
  <LinksUpToDate>false</LinksUpToDate>
  <CharactersWithSpaces>79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2024-05-29T07:05:00Z</dcterms:created>
  <dc:creator>LQ</dc:creator>
  <cp:lastModifiedBy>ZENG</cp:lastModifiedBy>
  <cp:lastPrinted>2024-10-22T02:22:00Z</cp:lastPrinted>
  <dcterms:modified xsi:type="dcterms:W3CDTF">2026-11-02T06:33:16Z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8937DA82B0F149D89D5B8D91E3F1B71B_13</vt:lpwstr>
  </property>
  <property fmtid="{D5CDD505-2E9C-101B-9397-08002B2CF9AE}" pid="4" name="KSOTemplateDocerSaveRecord">
    <vt:lpwstr>eyJoZGlkIjoiOWZiYTZkNTUwMjZiMGM4ZjExMzc4ZDQ0N2M1MzAyYTQiLCJ1c2VySWQiOiIxMjAyMjczODY4In0=</vt:lpwstr>
  </property>
</Properties>
</file>